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4AA8" w:rsidR="00C37AF0" w:rsidP="007F4AA8" w:rsidRDefault="00C37AF0">
      <w:pPr>
        <w:jc w:val="both"/>
        <w:rPr>
          <w:rFonts w:ascii="Arial" w:hAnsi="Arial" w:cs="Arial"/>
          <w:b/>
          <w:sz w:val="22"/>
          <w:szCs w:val="22"/>
        </w:rPr>
      </w:pPr>
      <w:bookmarkStart w:name="_GoBack" w:id="0"/>
      <w:bookmarkEnd w:id="0"/>
    </w:p>
    <w:p w:rsidRPr="007F4AA8" w:rsidR="00C37AF0" w:rsidP="007F4AA8" w:rsidRDefault="00C37AF0">
      <w:pPr>
        <w:jc w:val="both"/>
        <w:rPr>
          <w:rFonts w:ascii="Arial" w:hAnsi="Arial" w:cs="Arial"/>
          <w:b/>
          <w:sz w:val="22"/>
          <w:szCs w:val="22"/>
        </w:rPr>
      </w:pPr>
    </w:p>
    <w:p w:rsidRPr="007F4AA8" w:rsidR="00C37AF0" w:rsidP="007F4AA8" w:rsidRDefault="00C37AF0">
      <w:pPr>
        <w:jc w:val="both"/>
        <w:rPr>
          <w:rFonts w:ascii="Arial" w:hAnsi="Arial" w:cs="Arial"/>
          <w:b/>
          <w:sz w:val="22"/>
          <w:szCs w:val="22"/>
        </w:rPr>
      </w:pPr>
    </w:p>
    <w:p w:rsidRPr="007F4AA8" w:rsidR="00C37AF0" w:rsidP="007F4AA8" w:rsidRDefault="00C37AF0">
      <w:pPr>
        <w:jc w:val="both"/>
        <w:rPr>
          <w:rFonts w:ascii="Arial" w:hAnsi="Arial" w:cs="Arial"/>
          <w:b/>
          <w:sz w:val="22"/>
          <w:szCs w:val="22"/>
        </w:rPr>
      </w:pPr>
    </w:p>
    <w:p w:rsidRPr="007F4AA8" w:rsidR="00C37AF0" w:rsidP="007F4AA8" w:rsidRDefault="00C37AF0">
      <w:pPr>
        <w:jc w:val="both"/>
        <w:rPr>
          <w:rFonts w:ascii="Arial" w:hAnsi="Arial" w:cs="Arial"/>
          <w:b/>
          <w:sz w:val="22"/>
          <w:szCs w:val="22"/>
        </w:rPr>
      </w:pPr>
    </w:p>
    <w:p w:rsidRPr="007F4AA8" w:rsidR="00C37AF0" w:rsidP="007F4AA8" w:rsidRDefault="00C37AF0">
      <w:pPr>
        <w:jc w:val="both"/>
        <w:rPr>
          <w:rFonts w:ascii="Arial" w:hAnsi="Arial" w:cs="Arial"/>
          <w:b/>
          <w:sz w:val="22"/>
          <w:szCs w:val="22"/>
        </w:rPr>
      </w:pPr>
    </w:p>
    <w:p w:rsidRPr="007F4AA8" w:rsidR="00C37AF0" w:rsidP="007F4AA8" w:rsidRDefault="00C37AF0">
      <w:pPr>
        <w:jc w:val="both"/>
        <w:rPr>
          <w:rFonts w:ascii="Arial" w:hAnsi="Arial" w:cs="Arial"/>
          <w:b/>
          <w:sz w:val="22"/>
          <w:szCs w:val="22"/>
        </w:rPr>
      </w:pPr>
    </w:p>
    <w:p w:rsidRPr="007F4AA8" w:rsidR="00F15E20" w:rsidP="007F4AA8" w:rsidRDefault="00F15E20">
      <w:pPr>
        <w:jc w:val="both"/>
        <w:rPr>
          <w:rFonts w:ascii="Arial" w:hAnsi="Arial" w:cs="Arial"/>
          <w:b/>
          <w:sz w:val="22"/>
          <w:szCs w:val="22"/>
        </w:rPr>
      </w:pPr>
    </w:p>
    <w:p w:rsidRPr="007F4AA8" w:rsidR="00F15E20" w:rsidP="007F4AA8" w:rsidRDefault="00F15E20">
      <w:pPr>
        <w:jc w:val="both"/>
        <w:rPr>
          <w:rFonts w:ascii="Arial" w:hAnsi="Arial" w:cs="Arial"/>
          <w:b/>
          <w:sz w:val="22"/>
          <w:szCs w:val="22"/>
        </w:rPr>
      </w:pPr>
    </w:p>
    <w:p w:rsidRPr="007F4AA8" w:rsidR="00F15E20" w:rsidP="007F4AA8" w:rsidRDefault="00F15E20">
      <w:pPr>
        <w:jc w:val="both"/>
        <w:rPr>
          <w:rFonts w:ascii="Arial" w:hAnsi="Arial" w:cs="Arial"/>
          <w:b/>
          <w:sz w:val="22"/>
          <w:szCs w:val="22"/>
        </w:rPr>
      </w:pPr>
    </w:p>
    <w:p w:rsidRPr="007F4AA8" w:rsidR="00F15E20" w:rsidP="007F4AA8" w:rsidRDefault="00F15E20">
      <w:pPr>
        <w:jc w:val="both"/>
        <w:rPr>
          <w:rFonts w:ascii="Arial" w:hAnsi="Arial" w:cs="Arial"/>
          <w:b/>
          <w:sz w:val="22"/>
          <w:szCs w:val="22"/>
        </w:rPr>
      </w:pPr>
    </w:p>
    <w:p w:rsidRPr="007F4AA8" w:rsidR="00C37AF0" w:rsidP="007F4AA8" w:rsidRDefault="00C37AF0">
      <w:pPr>
        <w:pStyle w:val="Heading3"/>
        <w:spacing w:before="0" w:after="0"/>
        <w:ind w:left="360"/>
        <w:jc w:val="both"/>
        <w:rPr>
          <w:rFonts w:ascii="Arial" w:hAnsi="Arial" w:cs="Arial"/>
          <w:sz w:val="22"/>
          <w:szCs w:val="22"/>
        </w:rPr>
      </w:pPr>
    </w:p>
    <w:p w:rsidRPr="007F4AA8" w:rsidR="00C37AF0" w:rsidP="007F4AA8" w:rsidRDefault="00C37AF0">
      <w:pPr>
        <w:tabs>
          <w:tab w:val="clear" w:pos="936"/>
          <w:tab w:val="left" w:pos="0"/>
          <w:tab w:val="left" w:pos="720"/>
        </w:tabs>
        <w:jc w:val="both"/>
        <w:rPr>
          <w:rFonts w:ascii="Arial" w:hAnsi="Arial" w:cs="Arial"/>
          <w:sz w:val="22"/>
          <w:szCs w:val="22"/>
        </w:rPr>
      </w:pPr>
    </w:p>
    <w:p w:rsidR="00AB3A98" w:rsidP="00AB3A98" w:rsidRDefault="001D01ED">
      <w:pPr>
        <w:jc w:val="center"/>
        <w:outlineLvl w:val="0"/>
        <w:rPr>
          <w:rFonts w:ascii="Arial" w:hAnsi="Arial" w:cs="Arial"/>
          <w:b/>
          <w:sz w:val="32"/>
          <w:szCs w:val="32"/>
        </w:rPr>
      </w:pPr>
      <w:r w:rsidRPr="001D01ED">
        <w:rPr>
          <w:rFonts w:ascii="Arial" w:hAnsi="Arial" w:cs="Arial"/>
          <w:b/>
          <w:sz w:val="32"/>
          <w:szCs w:val="32"/>
        </w:rPr>
        <w:t>Procedure for Disposal of Radioactive waste</w:t>
      </w:r>
    </w:p>
    <w:p w:rsidR="00AB3A98" w:rsidP="00AB3A98" w:rsidRDefault="00AB3A98">
      <w:pPr>
        <w:jc w:val="center"/>
        <w:outlineLvl w:val="0"/>
        <w:rPr>
          <w:rFonts w:ascii="Arial" w:hAnsi="Arial" w:cs="Arial"/>
          <w:b/>
          <w:sz w:val="32"/>
          <w:szCs w:val="32"/>
        </w:rPr>
      </w:pPr>
    </w:p>
    <w:p w:rsidRPr="001D01ED" w:rsidR="001D01ED" w:rsidP="00AB3A98" w:rsidRDefault="00AB3A98">
      <w:pPr>
        <w:jc w:val="center"/>
        <w:outlineLvl w:val="0"/>
        <w:rPr>
          <w:rFonts w:ascii="Arial" w:hAnsi="Arial" w:cs="Arial"/>
          <w:b/>
          <w:sz w:val="32"/>
          <w:szCs w:val="32"/>
        </w:rPr>
      </w:pPr>
      <w:r w:rsidRPr="001D01ED">
        <w:rPr>
          <w:rFonts w:ascii="Arial" w:hAnsi="Arial" w:cs="Arial"/>
          <w:b/>
          <w:sz w:val="32"/>
          <w:szCs w:val="32"/>
        </w:rPr>
        <w:t xml:space="preserve">SHEP35 </w:t>
      </w:r>
    </w:p>
    <w:p w:rsidRPr="007F4AA8" w:rsidR="00C37AF0" w:rsidP="007F4AA8" w:rsidRDefault="00C37AF0">
      <w:pPr>
        <w:tabs>
          <w:tab w:val="clear" w:pos="936"/>
          <w:tab w:val="left" w:pos="0"/>
          <w:tab w:val="left" w:pos="720"/>
        </w:tabs>
        <w:jc w:val="both"/>
        <w:rPr>
          <w:rFonts w:ascii="Arial" w:hAnsi="Arial" w:cs="Arial"/>
          <w:sz w:val="22"/>
          <w:szCs w:val="22"/>
        </w:rPr>
      </w:pPr>
    </w:p>
    <w:p w:rsidRPr="007F4AA8" w:rsidR="00C37AF0" w:rsidP="007F4AA8" w:rsidRDefault="00C37AF0">
      <w:pPr>
        <w:tabs>
          <w:tab w:val="clear" w:pos="936"/>
          <w:tab w:val="left" w:pos="0"/>
          <w:tab w:val="left" w:pos="720"/>
        </w:tabs>
        <w:jc w:val="both"/>
        <w:rPr>
          <w:rFonts w:ascii="Arial" w:hAnsi="Arial" w:cs="Arial"/>
          <w:sz w:val="22"/>
          <w:szCs w:val="22"/>
        </w:rPr>
      </w:pPr>
    </w:p>
    <w:p w:rsidR="00C37AF0" w:rsidP="007F4AA8" w:rsidRDefault="00C37AF0">
      <w:pPr>
        <w:tabs>
          <w:tab w:val="clear" w:pos="936"/>
          <w:tab w:val="left" w:pos="0"/>
          <w:tab w:val="left" w:pos="720"/>
        </w:tabs>
        <w:jc w:val="both"/>
        <w:rPr>
          <w:rFonts w:ascii="Arial" w:hAnsi="Arial" w:cs="Arial"/>
          <w:sz w:val="22"/>
          <w:szCs w:val="22"/>
        </w:rPr>
      </w:pPr>
    </w:p>
    <w:tbl>
      <w:tblPr>
        <w:tblpPr w:leftFromText="180" w:rightFromText="180" w:vertAnchor="text" w:horzAnchor="margin" w:tblpY="4345"/>
        <w:tblW w:w="9360" w:type="dxa"/>
        <w:tblLayout w:type="fixed"/>
        <w:tblCellMar>
          <w:left w:w="168" w:type="dxa"/>
          <w:right w:w="168" w:type="dxa"/>
        </w:tblCellMar>
        <w:tblLook w:val="0000" w:firstRow="0" w:lastRow="0" w:firstColumn="0" w:lastColumn="0" w:noHBand="0" w:noVBand="0"/>
      </w:tblPr>
      <w:tblGrid>
        <w:gridCol w:w="900"/>
        <w:gridCol w:w="1620"/>
        <w:gridCol w:w="5220"/>
        <w:gridCol w:w="1620"/>
      </w:tblGrid>
      <w:tr w:rsidRPr="007F4AA8" w:rsidR="00FD1510" w:rsidTr="00FD1510">
        <w:tc>
          <w:tcPr>
            <w:tcW w:w="900" w:type="dxa"/>
            <w:tcBorders>
              <w:top w:val="single" w:color="000000" w:sz="6" w:space="0"/>
              <w:left w:val="doub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1</w:t>
            </w:r>
          </w:p>
        </w:tc>
        <w:tc>
          <w:tcPr>
            <w:tcW w:w="1620" w:type="dxa"/>
            <w:tcBorders>
              <w:top w:val="single" w:color="000000" w:sz="6" w:space="0"/>
              <w:left w:val="sing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June 2008</w:t>
            </w:r>
          </w:p>
        </w:tc>
        <w:tc>
          <w:tcPr>
            <w:tcW w:w="5220" w:type="dxa"/>
            <w:tcBorders>
              <w:top w:val="single" w:color="000000" w:sz="6" w:space="0"/>
              <w:left w:val="sing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Draft Issued for Use</w:t>
            </w:r>
          </w:p>
        </w:tc>
        <w:tc>
          <w:tcPr>
            <w:tcW w:w="1620" w:type="dxa"/>
            <w:tcBorders>
              <w:top w:val="single" w:color="000000" w:sz="6" w:space="0"/>
              <w:left w:val="single" w:color="000000" w:sz="6" w:space="0"/>
              <w:bottom w:val="single" w:color="000000" w:sz="6" w:space="0"/>
              <w:right w:val="double" w:color="000000" w:sz="6" w:space="0"/>
            </w:tcBorders>
          </w:tcPr>
          <w:p w:rsidRPr="007F4AA8" w:rsidR="00FD1510" w:rsidP="00FD1510" w:rsidRDefault="00FD1510">
            <w:pPr>
              <w:widowControl w:val="0"/>
              <w:jc w:val="both"/>
              <w:rPr>
                <w:rFonts w:ascii="Arial" w:hAnsi="Arial" w:cs="Arial"/>
                <w:sz w:val="22"/>
                <w:szCs w:val="22"/>
              </w:rPr>
            </w:pPr>
            <w:smartTag w:uri="urn:schemas-microsoft-com:office:smarttags" w:element="place">
              <w:r>
                <w:rPr>
                  <w:rFonts w:ascii="Arial" w:hAnsi="Arial" w:cs="Arial"/>
                  <w:sz w:val="22"/>
                  <w:szCs w:val="22"/>
                </w:rPr>
                <w:t>S Blease</w:t>
              </w:r>
            </w:smartTag>
          </w:p>
        </w:tc>
      </w:tr>
      <w:tr w:rsidRPr="007F4AA8" w:rsidR="00FD1510" w:rsidTr="00FD1510">
        <w:tc>
          <w:tcPr>
            <w:tcW w:w="900" w:type="dxa"/>
            <w:tcBorders>
              <w:top w:val="single" w:color="000000" w:sz="6" w:space="0"/>
              <w:left w:val="doub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2</w:t>
            </w:r>
          </w:p>
        </w:tc>
        <w:tc>
          <w:tcPr>
            <w:tcW w:w="1620" w:type="dxa"/>
            <w:tcBorders>
              <w:top w:val="single" w:color="000000" w:sz="6" w:space="0"/>
              <w:left w:val="sing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July 2008</w:t>
            </w:r>
          </w:p>
        </w:tc>
        <w:tc>
          <w:tcPr>
            <w:tcW w:w="5220" w:type="dxa"/>
            <w:tcBorders>
              <w:top w:val="single" w:color="000000" w:sz="6" w:space="0"/>
              <w:left w:val="sing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Issued for Use</w:t>
            </w:r>
          </w:p>
        </w:tc>
        <w:tc>
          <w:tcPr>
            <w:tcW w:w="1620" w:type="dxa"/>
            <w:tcBorders>
              <w:top w:val="single" w:color="000000" w:sz="6" w:space="0"/>
              <w:left w:val="single" w:color="000000" w:sz="6" w:space="0"/>
              <w:bottom w:val="single" w:color="000000" w:sz="6" w:space="0"/>
              <w:right w:val="double" w:color="000000"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C Smith</w:t>
            </w:r>
          </w:p>
        </w:tc>
      </w:tr>
      <w:tr w:rsidRPr="007F4AA8" w:rsidR="00FD1510" w:rsidTr="00FD1510">
        <w:tc>
          <w:tcPr>
            <w:tcW w:w="900" w:type="dxa"/>
            <w:tcBorders>
              <w:top w:val="single" w:color="000000" w:sz="6" w:space="0"/>
              <w:left w:val="doub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3</w:t>
            </w:r>
          </w:p>
        </w:tc>
        <w:tc>
          <w:tcPr>
            <w:tcW w:w="1620" w:type="dxa"/>
            <w:tcBorders>
              <w:top w:val="single" w:color="000000" w:sz="6" w:space="0"/>
              <w:left w:val="sing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30.7.2010</w:t>
            </w:r>
          </w:p>
        </w:tc>
        <w:tc>
          <w:tcPr>
            <w:tcW w:w="5220" w:type="dxa"/>
            <w:tcBorders>
              <w:top w:val="single" w:color="000000" w:sz="6" w:space="0"/>
              <w:left w:val="single" w:color="000000" w:sz="6" w:space="0"/>
              <w:bottom w:val="single" w:color="FFFFFF"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Revised</w:t>
            </w:r>
          </w:p>
        </w:tc>
        <w:tc>
          <w:tcPr>
            <w:tcW w:w="1620" w:type="dxa"/>
            <w:tcBorders>
              <w:top w:val="single" w:color="000000" w:sz="6" w:space="0"/>
              <w:left w:val="single" w:color="000000" w:sz="6" w:space="0"/>
              <w:bottom w:val="single" w:color="000000" w:sz="6" w:space="0"/>
              <w:right w:val="double" w:color="000000"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A. Harris</w:t>
            </w:r>
          </w:p>
        </w:tc>
      </w:tr>
      <w:tr w:rsidRPr="007F4AA8" w:rsidR="00FD1510" w:rsidTr="00FD1510">
        <w:tc>
          <w:tcPr>
            <w:tcW w:w="900" w:type="dxa"/>
            <w:tcBorders>
              <w:top w:val="single" w:color="000000" w:sz="6" w:space="0"/>
              <w:left w:val="double" w:color="000000" w:sz="6" w:space="0"/>
              <w:bottom w:val="single" w:color="000000"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4</w:t>
            </w:r>
          </w:p>
        </w:tc>
        <w:tc>
          <w:tcPr>
            <w:tcW w:w="1620" w:type="dxa"/>
            <w:tcBorders>
              <w:top w:val="single" w:color="000000" w:sz="6" w:space="0"/>
              <w:left w:val="single" w:color="000000" w:sz="6" w:space="0"/>
              <w:bottom w:val="single" w:color="000000"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22.1.2014</w:t>
            </w:r>
          </w:p>
        </w:tc>
        <w:tc>
          <w:tcPr>
            <w:tcW w:w="5220" w:type="dxa"/>
            <w:tcBorders>
              <w:top w:val="single" w:color="000000" w:sz="6" w:space="0"/>
              <w:left w:val="single" w:color="000000" w:sz="6" w:space="0"/>
              <w:bottom w:val="single" w:color="000000" w:sz="6" w:space="0"/>
              <w:right w:val="single" w:color="FFFFFF"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Revised</w:t>
            </w:r>
          </w:p>
        </w:tc>
        <w:tc>
          <w:tcPr>
            <w:tcW w:w="1620" w:type="dxa"/>
            <w:tcBorders>
              <w:top w:val="single" w:color="000000" w:sz="6" w:space="0"/>
              <w:left w:val="single" w:color="000000" w:sz="6" w:space="0"/>
              <w:bottom w:val="single" w:color="000000" w:sz="6" w:space="0"/>
              <w:right w:val="double" w:color="000000" w:sz="6" w:space="0"/>
            </w:tcBorders>
          </w:tcPr>
          <w:p w:rsidRPr="007F4AA8" w:rsidR="00FD1510" w:rsidP="00FD1510" w:rsidRDefault="00FD1510">
            <w:pPr>
              <w:widowControl w:val="0"/>
              <w:jc w:val="both"/>
              <w:rPr>
                <w:rFonts w:ascii="Arial" w:hAnsi="Arial" w:cs="Arial"/>
                <w:sz w:val="22"/>
                <w:szCs w:val="22"/>
              </w:rPr>
            </w:pPr>
            <w:r>
              <w:rPr>
                <w:rFonts w:ascii="Arial" w:hAnsi="Arial" w:cs="Arial"/>
                <w:sz w:val="22"/>
                <w:szCs w:val="22"/>
              </w:rPr>
              <w:t>C Sandiford / J Akiyu</w:t>
            </w:r>
          </w:p>
        </w:tc>
      </w:tr>
      <w:tr w:rsidRPr="007F4AA8" w:rsidR="00FD1510" w:rsidTr="00FD1510">
        <w:tc>
          <w:tcPr>
            <w:tcW w:w="900" w:type="dxa"/>
            <w:tcBorders>
              <w:top w:val="single" w:color="000000" w:sz="6" w:space="0"/>
              <w:left w:val="double" w:color="000000" w:sz="6" w:space="0"/>
              <w:bottom w:val="single" w:color="000000" w:sz="6" w:space="0"/>
              <w:right w:val="single" w:color="FFFFFF" w:sz="6" w:space="0"/>
            </w:tcBorders>
          </w:tcPr>
          <w:p w:rsidR="00FD1510" w:rsidP="00FD1510" w:rsidRDefault="00FD1510">
            <w:pPr>
              <w:widowControl w:val="0"/>
              <w:jc w:val="both"/>
              <w:rPr>
                <w:rFonts w:ascii="Arial" w:hAnsi="Arial" w:cs="Arial"/>
                <w:sz w:val="22"/>
                <w:szCs w:val="22"/>
              </w:rPr>
            </w:pPr>
            <w:r>
              <w:rPr>
                <w:rFonts w:ascii="Arial" w:hAnsi="Arial" w:cs="Arial"/>
                <w:sz w:val="22"/>
                <w:szCs w:val="22"/>
              </w:rPr>
              <w:t xml:space="preserve">5 </w:t>
            </w:r>
          </w:p>
        </w:tc>
        <w:tc>
          <w:tcPr>
            <w:tcW w:w="1620" w:type="dxa"/>
            <w:tcBorders>
              <w:top w:val="single" w:color="000000" w:sz="6" w:space="0"/>
              <w:left w:val="single" w:color="000000" w:sz="6" w:space="0"/>
              <w:bottom w:val="single" w:color="000000" w:sz="6" w:space="0"/>
              <w:right w:val="single" w:color="FFFFFF" w:sz="6" w:space="0"/>
            </w:tcBorders>
          </w:tcPr>
          <w:p w:rsidR="00FD1510" w:rsidP="00FD1510" w:rsidRDefault="00FD1510">
            <w:pPr>
              <w:widowControl w:val="0"/>
              <w:jc w:val="both"/>
              <w:rPr>
                <w:rFonts w:ascii="Arial" w:hAnsi="Arial" w:cs="Arial"/>
                <w:sz w:val="22"/>
                <w:szCs w:val="22"/>
              </w:rPr>
            </w:pPr>
            <w:r>
              <w:rPr>
                <w:rFonts w:ascii="Arial" w:hAnsi="Arial" w:cs="Arial"/>
                <w:sz w:val="22"/>
                <w:szCs w:val="22"/>
              </w:rPr>
              <w:t>5.7.2019</w:t>
            </w:r>
          </w:p>
        </w:tc>
        <w:tc>
          <w:tcPr>
            <w:tcW w:w="5220" w:type="dxa"/>
            <w:tcBorders>
              <w:top w:val="single" w:color="000000" w:sz="6" w:space="0"/>
              <w:left w:val="single" w:color="000000" w:sz="6" w:space="0"/>
              <w:bottom w:val="single" w:color="000000" w:sz="6" w:space="0"/>
              <w:right w:val="single" w:color="FFFFFF" w:sz="6" w:space="0"/>
            </w:tcBorders>
          </w:tcPr>
          <w:p w:rsidR="00FD1510" w:rsidP="00FD1510" w:rsidRDefault="00FD1510">
            <w:pPr>
              <w:widowControl w:val="0"/>
              <w:jc w:val="both"/>
              <w:rPr>
                <w:rFonts w:ascii="Arial" w:hAnsi="Arial" w:cs="Arial"/>
                <w:sz w:val="22"/>
                <w:szCs w:val="22"/>
              </w:rPr>
            </w:pPr>
            <w:r>
              <w:rPr>
                <w:rFonts w:ascii="Arial" w:hAnsi="Arial" w:cs="Arial"/>
                <w:sz w:val="22"/>
                <w:szCs w:val="22"/>
              </w:rPr>
              <w:t>Revised</w:t>
            </w:r>
          </w:p>
        </w:tc>
        <w:tc>
          <w:tcPr>
            <w:tcW w:w="1620" w:type="dxa"/>
            <w:tcBorders>
              <w:top w:val="single" w:color="000000" w:sz="6" w:space="0"/>
              <w:left w:val="single" w:color="000000" w:sz="6" w:space="0"/>
              <w:bottom w:val="single" w:color="000000" w:sz="6" w:space="0"/>
              <w:right w:val="double" w:color="000000" w:sz="6" w:space="0"/>
            </w:tcBorders>
          </w:tcPr>
          <w:p w:rsidR="00FD1510" w:rsidP="00FD1510" w:rsidRDefault="00FD1510">
            <w:pPr>
              <w:widowControl w:val="0"/>
              <w:jc w:val="both"/>
              <w:rPr>
                <w:rFonts w:ascii="Arial" w:hAnsi="Arial" w:cs="Arial"/>
                <w:sz w:val="22"/>
                <w:szCs w:val="22"/>
              </w:rPr>
            </w:pPr>
            <w:r>
              <w:rPr>
                <w:rFonts w:ascii="Arial" w:hAnsi="Arial" w:cs="Arial"/>
                <w:sz w:val="22"/>
                <w:szCs w:val="22"/>
              </w:rPr>
              <w:t>C Sandiford</w:t>
            </w:r>
          </w:p>
          <w:p w:rsidR="00FD1510" w:rsidP="00FD1510" w:rsidRDefault="00FD1510">
            <w:pPr>
              <w:widowControl w:val="0"/>
              <w:jc w:val="both"/>
              <w:rPr>
                <w:rFonts w:ascii="Arial" w:hAnsi="Arial" w:cs="Arial"/>
                <w:sz w:val="22"/>
                <w:szCs w:val="22"/>
              </w:rPr>
            </w:pPr>
          </w:p>
        </w:tc>
      </w:tr>
      <w:tr w:rsidRPr="007F4AA8" w:rsidR="00FD1510" w:rsidTr="00FD1510">
        <w:tc>
          <w:tcPr>
            <w:tcW w:w="900" w:type="dxa"/>
            <w:tcBorders>
              <w:top w:val="single" w:color="000000" w:sz="6" w:space="0"/>
              <w:left w:val="double" w:color="000000" w:sz="6" w:space="0"/>
              <w:bottom w:val="double" w:color="000000" w:sz="6" w:space="0"/>
              <w:right w:val="single" w:color="FFFFFF" w:sz="6" w:space="0"/>
            </w:tcBorders>
          </w:tcPr>
          <w:p w:rsidRPr="007F4AA8" w:rsidR="00FD1510" w:rsidP="00FD1510" w:rsidRDefault="00FD1510">
            <w:pPr>
              <w:widowControl w:val="0"/>
              <w:spacing w:before="60"/>
              <w:jc w:val="both"/>
              <w:rPr>
                <w:rFonts w:ascii="Arial" w:hAnsi="Arial" w:cs="Arial"/>
                <w:b/>
                <w:bCs/>
                <w:sz w:val="22"/>
                <w:szCs w:val="22"/>
              </w:rPr>
            </w:pPr>
            <w:r w:rsidRPr="007F4AA8">
              <w:rPr>
                <w:rFonts w:ascii="Arial" w:hAnsi="Arial" w:cs="Arial"/>
                <w:b/>
                <w:bCs/>
                <w:sz w:val="22"/>
                <w:szCs w:val="22"/>
              </w:rPr>
              <w:t>Rev</w:t>
            </w:r>
          </w:p>
        </w:tc>
        <w:tc>
          <w:tcPr>
            <w:tcW w:w="1620" w:type="dxa"/>
            <w:tcBorders>
              <w:top w:val="single" w:color="000000" w:sz="6" w:space="0"/>
              <w:left w:val="single" w:color="000000" w:sz="6" w:space="0"/>
              <w:bottom w:val="double" w:color="000000" w:sz="6" w:space="0"/>
              <w:right w:val="single" w:color="FFFFFF" w:sz="6" w:space="0"/>
            </w:tcBorders>
          </w:tcPr>
          <w:p w:rsidRPr="007F4AA8" w:rsidR="00FD1510" w:rsidP="00FD1510" w:rsidRDefault="00FD1510">
            <w:pPr>
              <w:widowControl w:val="0"/>
              <w:spacing w:before="60"/>
              <w:jc w:val="both"/>
              <w:rPr>
                <w:rFonts w:ascii="Arial" w:hAnsi="Arial" w:cs="Arial"/>
                <w:b/>
                <w:bCs/>
                <w:sz w:val="22"/>
                <w:szCs w:val="22"/>
              </w:rPr>
            </w:pPr>
            <w:r w:rsidRPr="007F4AA8">
              <w:rPr>
                <w:rFonts w:ascii="Arial" w:hAnsi="Arial" w:cs="Arial"/>
                <w:b/>
                <w:bCs/>
                <w:sz w:val="22"/>
                <w:szCs w:val="22"/>
              </w:rPr>
              <w:t>Date</w:t>
            </w:r>
            <w:r>
              <w:rPr>
                <w:rFonts w:ascii="Arial" w:hAnsi="Arial" w:cs="Arial"/>
                <w:b/>
                <w:bCs/>
                <w:sz w:val="22"/>
                <w:szCs w:val="22"/>
              </w:rPr>
              <w:t xml:space="preserve"> 30.7.2010</w:t>
            </w:r>
          </w:p>
        </w:tc>
        <w:tc>
          <w:tcPr>
            <w:tcW w:w="5220" w:type="dxa"/>
            <w:tcBorders>
              <w:top w:val="single" w:color="000000" w:sz="6" w:space="0"/>
              <w:left w:val="single" w:color="000000" w:sz="6" w:space="0"/>
              <w:bottom w:val="double" w:color="000000" w:sz="6" w:space="0"/>
              <w:right w:val="single" w:color="FFFFFF" w:sz="6" w:space="0"/>
            </w:tcBorders>
          </w:tcPr>
          <w:p w:rsidRPr="007F4AA8" w:rsidR="00FD1510" w:rsidP="00FD1510" w:rsidRDefault="00FD1510">
            <w:pPr>
              <w:pStyle w:val="Header"/>
              <w:widowControl w:val="0"/>
              <w:spacing w:before="60"/>
              <w:jc w:val="both"/>
              <w:rPr>
                <w:rFonts w:ascii="Arial" w:hAnsi="Arial" w:cs="Arial"/>
                <w:b/>
                <w:bCs/>
                <w:sz w:val="22"/>
                <w:szCs w:val="22"/>
              </w:rPr>
            </w:pPr>
            <w:r w:rsidRPr="007F4AA8">
              <w:rPr>
                <w:rFonts w:ascii="Arial" w:hAnsi="Arial" w:cs="Arial"/>
                <w:b/>
                <w:bCs/>
                <w:sz w:val="22"/>
                <w:szCs w:val="22"/>
              </w:rPr>
              <w:t>Amendment</w:t>
            </w:r>
          </w:p>
        </w:tc>
        <w:tc>
          <w:tcPr>
            <w:tcW w:w="1620" w:type="dxa"/>
            <w:tcBorders>
              <w:top w:val="single" w:color="000000" w:sz="6" w:space="0"/>
              <w:left w:val="single" w:color="000000" w:sz="6" w:space="0"/>
              <w:bottom w:val="double" w:color="000000" w:sz="6" w:space="0"/>
              <w:right w:val="double" w:color="000000" w:sz="6" w:space="0"/>
            </w:tcBorders>
          </w:tcPr>
          <w:p w:rsidRPr="007F4AA8" w:rsidR="00FD1510" w:rsidP="00FD1510" w:rsidRDefault="00FD1510">
            <w:pPr>
              <w:pStyle w:val="Header"/>
              <w:widowControl w:val="0"/>
              <w:spacing w:before="60"/>
              <w:ind w:right="-168"/>
              <w:jc w:val="both"/>
              <w:rPr>
                <w:rFonts w:ascii="Arial" w:hAnsi="Arial" w:cs="Arial"/>
                <w:b/>
                <w:bCs/>
                <w:sz w:val="22"/>
                <w:szCs w:val="22"/>
              </w:rPr>
            </w:pPr>
            <w:r w:rsidRPr="007F4AA8">
              <w:rPr>
                <w:rFonts w:ascii="Arial" w:hAnsi="Arial" w:cs="Arial"/>
                <w:b/>
                <w:bCs/>
                <w:sz w:val="22"/>
                <w:szCs w:val="22"/>
              </w:rPr>
              <w:t>Approved &amp; Authorised by</w:t>
            </w:r>
          </w:p>
        </w:tc>
      </w:tr>
    </w:tbl>
    <w:p w:rsidRPr="007F4AA8" w:rsidR="00066259" w:rsidP="007F4AA8" w:rsidRDefault="00BC701E">
      <w:pPr>
        <w:tabs>
          <w:tab w:val="clear" w:pos="936"/>
          <w:tab w:val="left" w:pos="0"/>
          <w:tab w:val="left" w:pos="720"/>
        </w:tabs>
        <w:jc w:val="both"/>
        <w:rPr>
          <w:rFonts w:ascii="Arial" w:hAnsi="Arial" w:cs="Arial"/>
          <w:sz w:val="22"/>
          <w:szCs w:val="22"/>
        </w:rPr>
      </w:pPr>
      <w:r>
        <w:rPr>
          <w:rFonts w:ascii="Arial" w:hAnsi="Arial" w:cs="Arial"/>
          <w:sz w:val="22"/>
          <w:szCs w:val="22"/>
        </w:rPr>
        <w:br w:type="page"/>
      </w:r>
    </w:p>
    <w:p w:rsidRPr="001D01ED" w:rsidR="00066259" w:rsidP="00066259" w:rsidRDefault="00066259">
      <w:pPr>
        <w:jc w:val="both"/>
        <w:outlineLvl w:val="0"/>
        <w:rPr>
          <w:rFonts w:ascii="Arial" w:hAnsi="Arial" w:cs="Arial"/>
        </w:rPr>
      </w:pPr>
    </w:p>
    <w:p w:rsidRPr="007F24B8" w:rsidR="00066259" w:rsidP="00066259" w:rsidRDefault="00066259">
      <w:pPr>
        <w:jc w:val="both"/>
        <w:outlineLvl w:val="0"/>
        <w:rPr>
          <w:rFonts w:ascii="Arial" w:hAnsi="Arial" w:cs="Arial"/>
          <w:b/>
        </w:rPr>
      </w:pPr>
      <w:r w:rsidRPr="007F24B8">
        <w:rPr>
          <w:rFonts w:ascii="Arial" w:hAnsi="Arial" w:cs="Arial"/>
          <w:b/>
        </w:rPr>
        <w:t>General</w:t>
      </w:r>
    </w:p>
    <w:p w:rsidRPr="007F24B8" w:rsidR="00066259" w:rsidP="00066259" w:rsidRDefault="00066259">
      <w:pPr>
        <w:jc w:val="both"/>
        <w:rPr>
          <w:rFonts w:ascii="Arial" w:hAnsi="Arial" w:cs="Arial"/>
        </w:rPr>
      </w:pPr>
    </w:p>
    <w:p w:rsidR="00066259" w:rsidP="00066259" w:rsidRDefault="00066259">
      <w:pPr>
        <w:jc w:val="both"/>
        <w:rPr>
          <w:rFonts w:ascii="Arial" w:hAnsi="Arial" w:cs="Arial"/>
        </w:rPr>
      </w:pPr>
      <w:r>
        <w:rPr>
          <w:rFonts w:ascii="Arial" w:hAnsi="Arial" w:cs="Arial"/>
        </w:rPr>
        <w:t>I</w:t>
      </w:r>
      <w:r w:rsidRPr="007F24B8">
        <w:rPr>
          <w:rFonts w:ascii="Arial" w:hAnsi="Arial" w:cs="Arial"/>
        </w:rPr>
        <w:t xml:space="preserve">t is essential that the appropriate protective clothing and precautions are used </w:t>
      </w:r>
      <w:r>
        <w:rPr>
          <w:rFonts w:ascii="Arial" w:hAnsi="Arial" w:cs="Arial"/>
        </w:rPr>
        <w:t>w</w:t>
      </w:r>
      <w:r w:rsidRPr="007F24B8">
        <w:rPr>
          <w:rFonts w:ascii="Arial" w:hAnsi="Arial" w:cs="Arial"/>
        </w:rPr>
        <w:t xml:space="preserve">hen dealing with radioactive waste, as stated in </w:t>
      </w:r>
      <w:r>
        <w:rPr>
          <w:rFonts w:ascii="Arial" w:hAnsi="Arial" w:cs="Arial"/>
        </w:rPr>
        <w:t xml:space="preserve">the </w:t>
      </w:r>
      <w:r w:rsidRPr="007F24B8">
        <w:rPr>
          <w:rFonts w:ascii="Arial" w:hAnsi="Arial" w:cs="Arial"/>
        </w:rPr>
        <w:t>“</w:t>
      </w:r>
      <w:r>
        <w:rPr>
          <w:rFonts w:ascii="Arial" w:hAnsi="Arial" w:cs="Arial"/>
        </w:rPr>
        <w:t>G</w:t>
      </w:r>
      <w:r w:rsidRPr="007F24B8">
        <w:rPr>
          <w:rFonts w:ascii="Arial" w:hAnsi="Arial" w:cs="Arial"/>
        </w:rPr>
        <w:t xml:space="preserve">ood Laboratory Practice Radiochemical Work”. </w:t>
      </w:r>
    </w:p>
    <w:p w:rsidRPr="007F24B8" w:rsidR="00066259" w:rsidP="00066259" w:rsidRDefault="00066259">
      <w:pPr>
        <w:jc w:val="both"/>
        <w:rPr>
          <w:rFonts w:ascii="Arial" w:hAnsi="Arial" w:cs="Arial"/>
        </w:rPr>
      </w:pPr>
    </w:p>
    <w:p w:rsidR="00066259" w:rsidP="00066259" w:rsidRDefault="00066259">
      <w:pPr>
        <w:jc w:val="both"/>
        <w:rPr>
          <w:rFonts w:ascii="Arial" w:hAnsi="Arial" w:cs="Arial"/>
        </w:rPr>
      </w:pPr>
      <w:r w:rsidRPr="007F24B8">
        <w:rPr>
          <w:rFonts w:ascii="Arial" w:hAnsi="Arial" w:cs="Arial"/>
        </w:rPr>
        <w:t xml:space="preserve">It is also </w:t>
      </w:r>
      <w:r>
        <w:rPr>
          <w:rFonts w:ascii="Arial" w:hAnsi="Arial" w:cs="Arial"/>
        </w:rPr>
        <w:t xml:space="preserve">a legal requirement </w:t>
      </w:r>
      <w:r w:rsidRPr="007F24B8">
        <w:rPr>
          <w:rFonts w:ascii="Arial" w:hAnsi="Arial" w:cs="Arial"/>
        </w:rPr>
        <w:t>that the</w:t>
      </w:r>
      <w:r>
        <w:rPr>
          <w:rFonts w:ascii="Arial" w:hAnsi="Arial" w:cs="Arial"/>
        </w:rPr>
        <w:t>re is full compliance with</w:t>
      </w:r>
      <w:r w:rsidRPr="007F24B8">
        <w:rPr>
          <w:rFonts w:ascii="Arial" w:hAnsi="Arial" w:cs="Arial"/>
        </w:rPr>
        <w:t xml:space="preserve"> </w:t>
      </w:r>
      <w:r>
        <w:rPr>
          <w:rFonts w:ascii="Arial" w:hAnsi="Arial" w:cs="Arial"/>
        </w:rPr>
        <w:t>St. George’s University of London</w:t>
      </w:r>
      <w:r w:rsidRPr="007F24B8">
        <w:rPr>
          <w:rFonts w:ascii="Arial" w:hAnsi="Arial" w:cs="Arial"/>
        </w:rPr>
        <w:t xml:space="preserve"> </w:t>
      </w:r>
      <w:r>
        <w:rPr>
          <w:rFonts w:ascii="Arial" w:hAnsi="Arial" w:cs="Arial"/>
        </w:rPr>
        <w:t xml:space="preserve">(SGUL’s) </w:t>
      </w:r>
      <w:r w:rsidRPr="007F24B8">
        <w:rPr>
          <w:rFonts w:ascii="Arial" w:hAnsi="Arial" w:cs="Arial"/>
        </w:rPr>
        <w:t xml:space="preserve">Certificate of Authorisation for the Accumulation and Disposal of Radioactive waste </w:t>
      </w:r>
      <w:r>
        <w:rPr>
          <w:rFonts w:ascii="Arial" w:hAnsi="Arial" w:cs="Arial"/>
        </w:rPr>
        <w:t>(</w:t>
      </w:r>
      <w:r w:rsidRPr="007F24B8">
        <w:rPr>
          <w:rFonts w:ascii="Arial" w:hAnsi="Arial" w:cs="Arial"/>
        </w:rPr>
        <w:t>issued by the Environment Agency</w:t>
      </w:r>
      <w:r>
        <w:rPr>
          <w:rFonts w:ascii="Arial" w:hAnsi="Arial" w:cs="Arial"/>
        </w:rPr>
        <w:t>) under the Environmental Permitting Regulations 201</w:t>
      </w:r>
      <w:r w:rsidR="0012356D">
        <w:rPr>
          <w:rFonts w:ascii="Arial" w:hAnsi="Arial" w:cs="Arial"/>
        </w:rPr>
        <w:t>6</w:t>
      </w:r>
      <w:r w:rsidR="00FD1510">
        <w:rPr>
          <w:rFonts w:ascii="Arial" w:hAnsi="Arial" w:cs="Arial"/>
        </w:rPr>
        <w:t xml:space="preserve"> and Ionising Radiation Regulations 2017</w:t>
      </w:r>
      <w:r>
        <w:rPr>
          <w:rFonts w:ascii="Arial" w:hAnsi="Arial" w:cs="Arial"/>
        </w:rPr>
        <w:t>.</w:t>
      </w:r>
    </w:p>
    <w:p w:rsidRPr="007F24B8" w:rsidR="00066259" w:rsidP="00066259" w:rsidRDefault="00066259">
      <w:pPr>
        <w:jc w:val="both"/>
        <w:rPr>
          <w:rFonts w:ascii="Arial" w:hAnsi="Arial" w:cs="Arial"/>
        </w:rPr>
      </w:pPr>
    </w:p>
    <w:p w:rsidRPr="007F24B8" w:rsidR="00066259" w:rsidP="00066259" w:rsidRDefault="00066259">
      <w:pPr>
        <w:jc w:val="both"/>
        <w:rPr>
          <w:rFonts w:ascii="Arial" w:hAnsi="Arial" w:cs="Arial"/>
        </w:rPr>
      </w:pPr>
      <w:r w:rsidRPr="007F24B8">
        <w:rPr>
          <w:rFonts w:ascii="Arial" w:hAnsi="Arial" w:cs="Arial"/>
        </w:rPr>
        <w:t xml:space="preserve">All </w:t>
      </w:r>
      <w:r>
        <w:rPr>
          <w:rFonts w:ascii="Arial" w:hAnsi="Arial" w:cs="Arial"/>
        </w:rPr>
        <w:t xml:space="preserve">new </w:t>
      </w:r>
      <w:r w:rsidRPr="007F24B8">
        <w:rPr>
          <w:rFonts w:ascii="Arial" w:hAnsi="Arial" w:cs="Arial"/>
        </w:rPr>
        <w:t>radioactive work must be planned with the approval of the Radiation Protection Supervisor</w:t>
      </w:r>
      <w:r>
        <w:rPr>
          <w:rFonts w:ascii="Arial" w:hAnsi="Arial" w:cs="Arial"/>
        </w:rPr>
        <w:t xml:space="preserve"> </w:t>
      </w:r>
      <w:r w:rsidR="00FD1510">
        <w:rPr>
          <w:rFonts w:ascii="Arial" w:hAnsi="Arial" w:cs="Arial"/>
        </w:rPr>
        <w:t xml:space="preserve">(RPS) </w:t>
      </w:r>
      <w:r>
        <w:rPr>
          <w:rFonts w:ascii="Arial" w:hAnsi="Arial" w:cs="Arial"/>
        </w:rPr>
        <w:t xml:space="preserve">and Safety, </w:t>
      </w:r>
      <w:r w:rsidR="00BC701E">
        <w:rPr>
          <w:rFonts w:ascii="Arial" w:hAnsi="Arial" w:cs="Arial"/>
        </w:rPr>
        <w:t>H</w:t>
      </w:r>
      <w:r>
        <w:rPr>
          <w:rFonts w:ascii="Arial" w:hAnsi="Arial" w:cs="Arial"/>
        </w:rPr>
        <w:t>ealth and Environment Manager</w:t>
      </w:r>
      <w:r w:rsidRPr="00410A83">
        <w:rPr>
          <w:rFonts w:ascii="Arial" w:hAnsi="Arial" w:cs="Arial"/>
        </w:rPr>
        <w:t xml:space="preserve"> </w:t>
      </w:r>
      <w:r w:rsidRPr="007F24B8">
        <w:rPr>
          <w:rFonts w:ascii="Arial" w:hAnsi="Arial" w:cs="Arial"/>
        </w:rPr>
        <w:t>before work commences, including disposal of radioactive waste.</w:t>
      </w:r>
      <w:r>
        <w:rPr>
          <w:rFonts w:ascii="Arial" w:hAnsi="Arial" w:cs="Arial"/>
        </w:rPr>
        <w:t xml:space="preserve"> New work must also be notified to the </w:t>
      </w:r>
      <w:r w:rsidR="00FD1510">
        <w:rPr>
          <w:rFonts w:ascii="Arial" w:hAnsi="Arial" w:cs="Arial"/>
        </w:rPr>
        <w:t>SHE Office.</w:t>
      </w:r>
    </w:p>
    <w:p w:rsidR="00C37AF0" w:rsidP="007F4AA8" w:rsidRDefault="00C37AF0">
      <w:pPr>
        <w:tabs>
          <w:tab w:val="clear" w:pos="936"/>
          <w:tab w:val="left" w:pos="0"/>
          <w:tab w:val="left" w:pos="720"/>
        </w:tabs>
        <w:jc w:val="both"/>
        <w:rPr>
          <w:rFonts w:ascii="Arial" w:hAnsi="Arial" w:cs="Arial"/>
          <w:sz w:val="22"/>
          <w:szCs w:val="22"/>
        </w:rPr>
      </w:pPr>
    </w:p>
    <w:p w:rsidR="001D01ED" w:rsidP="001372A4" w:rsidRDefault="001D01ED">
      <w:pPr>
        <w:jc w:val="both"/>
        <w:rPr>
          <w:rFonts w:ascii="Arial" w:hAnsi="Arial" w:cs="Arial"/>
          <w:sz w:val="22"/>
          <w:szCs w:val="22"/>
        </w:rPr>
      </w:pPr>
    </w:p>
    <w:p w:rsidRPr="007F24B8" w:rsidR="001D01ED" w:rsidP="001D01ED" w:rsidRDefault="001D01ED">
      <w:pPr>
        <w:jc w:val="both"/>
        <w:outlineLvl w:val="0"/>
        <w:rPr>
          <w:rFonts w:ascii="Arial" w:hAnsi="Arial" w:cs="Arial"/>
          <w:b/>
        </w:rPr>
      </w:pPr>
      <w:r w:rsidRPr="007F24B8">
        <w:rPr>
          <w:rFonts w:ascii="Arial" w:hAnsi="Arial" w:cs="Arial"/>
          <w:b/>
        </w:rPr>
        <w:t>Aqueous waste</w:t>
      </w:r>
    </w:p>
    <w:p w:rsidR="001D01ED" w:rsidP="001D01ED" w:rsidRDefault="001D01ED">
      <w:pPr>
        <w:jc w:val="both"/>
        <w:rPr>
          <w:rFonts w:ascii="Arial" w:hAnsi="Arial" w:cs="Arial"/>
        </w:rPr>
      </w:pPr>
    </w:p>
    <w:p w:rsidR="001D01ED" w:rsidP="001D01ED" w:rsidRDefault="001D01ED">
      <w:pPr>
        <w:jc w:val="both"/>
        <w:rPr>
          <w:rFonts w:ascii="Arial" w:hAnsi="Arial" w:cs="Arial"/>
        </w:rPr>
      </w:pPr>
      <w:r>
        <w:rPr>
          <w:rFonts w:ascii="Arial" w:hAnsi="Arial" w:cs="Arial"/>
        </w:rPr>
        <w:t>Each department has an authorised limit for the total amount of aqueous waste which may be disposed of during each calendar month and this is stated in the Local Rules. Aqueous waste</w:t>
      </w:r>
      <w:r w:rsidRPr="007F24B8">
        <w:rPr>
          <w:rFonts w:ascii="Arial" w:hAnsi="Arial" w:cs="Arial"/>
        </w:rPr>
        <w:t xml:space="preserve"> </w:t>
      </w:r>
      <w:r>
        <w:rPr>
          <w:rFonts w:ascii="Arial" w:hAnsi="Arial" w:cs="Arial"/>
        </w:rPr>
        <w:t xml:space="preserve">must only be </w:t>
      </w:r>
      <w:r w:rsidRPr="007F24B8">
        <w:rPr>
          <w:rFonts w:ascii="Arial" w:hAnsi="Arial" w:cs="Arial"/>
        </w:rPr>
        <w:t>dispose</w:t>
      </w:r>
      <w:r>
        <w:rPr>
          <w:rFonts w:ascii="Arial" w:hAnsi="Arial" w:cs="Arial"/>
        </w:rPr>
        <w:t>d of down a designated sink</w:t>
      </w:r>
      <w:r w:rsidRPr="007F24B8">
        <w:rPr>
          <w:rFonts w:ascii="Arial" w:hAnsi="Arial" w:cs="Arial"/>
        </w:rPr>
        <w:t>, flushing well with water.</w:t>
      </w:r>
      <w:r>
        <w:rPr>
          <w:rFonts w:ascii="Arial" w:hAnsi="Arial" w:cs="Arial"/>
        </w:rPr>
        <w:t xml:space="preserve"> Organic aqueous waste must not be disposed via the sink.</w:t>
      </w:r>
    </w:p>
    <w:p w:rsidRPr="007F24B8" w:rsidR="001D01ED" w:rsidP="001D01ED" w:rsidRDefault="001D01ED">
      <w:pPr>
        <w:jc w:val="both"/>
        <w:rPr>
          <w:rFonts w:ascii="Arial" w:hAnsi="Arial" w:cs="Arial"/>
        </w:rPr>
      </w:pPr>
    </w:p>
    <w:p w:rsidR="001D01ED" w:rsidP="001D01ED" w:rsidRDefault="001D01ED">
      <w:pPr>
        <w:jc w:val="both"/>
        <w:rPr>
          <w:rFonts w:ascii="Arial" w:hAnsi="Arial" w:cs="Arial"/>
        </w:rPr>
      </w:pPr>
      <w:r w:rsidRPr="007F24B8">
        <w:rPr>
          <w:rFonts w:ascii="Arial" w:hAnsi="Arial" w:cs="Arial"/>
        </w:rPr>
        <w:t xml:space="preserve">The activity </w:t>
      </w:r>
      <w:r>
        <w:rPr>
          <w:rFonts w:ascii="Arial" w:hAnsi="Arial" w:cs="Arial"/>
        </w:rPr>
        <w:t xml:space="preserve">(in </w:t>
      </w:r>
      <w:proofErr w:type="spellStart"/>
      <w:r>
        <w:rPr>
          <w:rFonts w:ascii="Arial" w:hAnsi="Arial" w:cs="Arial"/>
        </w:rPr>
        <w:t>MBq</w:t>
      </w:r>
      <w:proofErr w:type="spellEnd"/>
      <w:r>
        <w:rPr>
          <w:rFonts w:ascii="Arial" w:hAnsi="Arial" w:cs="Arial"/>
        </w:rPr>
        <w:t xml:space="preserve">) </w:t>
      </w:r>
      <w:r w:rsidRPr="007F24B8">
        <w:rPr>
          <w:rFonts w:ascii="Arial" w:hAnsi="Arial" w:cs="Arial"/>
        </w:rPr>
        <w:t>and radionuclide must be recorded on the day of the disposal</w:t>
      </w:r>
      <w:r>
        <w:rPr>
          <w:rFonts w:ascii="Arial" w:hAnsi="Arial" w:cs="Arial"/>
        </w:rPr>
        <w:t>. E</w:t>
      </w:r>
      <w:r w:rsidRPr="007F24B8">
        <w:rPr>
          <w:rFonts w:ascii="Arial" w:hAnsi="Arial" w:cs="Arial"/>
        </w:rPr>
        <w:t>ach disposal area must submit a return of the previous month’s aque</w:t>
      </w:r>
      <w:r>
        <w:rPr>
          <w:rFonts w:ascii="Arial" w:hAnsi="Arial" w:cs="Arial"/>
        </w:rPr>
        <w:t>ous waste disposals, totalled for each individual</w:t>
      </w:r>
      <w:r w:rsidRPr="007F24B8">
        <w:rPr>
          <w:rFonts w:ascii="Arial" w:hAnsi="Arial" w:cs="Arial"/>
        </w:rPr>
        <w:t xml:space="preserve"> isotope, to the Radiation Protection Officer within one week of the</w:t>
      </w:r>
      <w:r>
        <w:rPr>
          <w:rFonts w:ascii="Arial" w:hAnsi="Arial" w:cs="Arial"/>
        </w:rPr>
        <w:t xml:space="preserve"> start of the</w:t>
      </w:r>
      <w:r w:rsidRPr="007F24B8">
        <w:rPr>
          <w:rFonts w:ascii="Arial" w:hAnsi="Arial" w:cs="Arial"/>
        </w:rPr>
        <w:t xml:space="preserve"> new month.</w:t>
      </w:r>
    </w:p>
    <w:p w:rsidRPr="007F24B8" w:rsidR="001D01ED" w:rsidP="001D01ED" w:rsidRDefault="001D01ED">
      <w:pPr>
        <w:jc w:val="both"/>
        <w:rPr>
          <w:rFonts w:ascii="Arial" w:hAnsi="Arial" w:cs="Arial"/>
        </w:rPr>
      </w:pPr>
    </w:p>
    <w:p w:rsidR="001D01ED" w:rsidP="001D01ED" w:rsidRDefault="001D01ED">
      <w:pPr>
        <w:jc w:val="both"/>
        <w:rPr>
          <w:rFonts w:ascii="Arial" w:hAnsi="Arial" w:cs="Arial"/>
        </w:rPr>
      </w:pPr>
      <w:r w:rsidRPr="007F24B8">
        <w:rPr>
          <w:rFonts w:ascii="Arial" w:hAnsi="Arial" w:cs="Arial"/>
        </w:rPr>
        <w:t>A collective monthly waste total</w:t>
      </w:r>
      <w:r>
        <w:rPr>
          <w:rFonts w:ascii="Arial" w:hAnsi="Arial" w:cs="Arial"/>
        </w:rPr>
        <w:t xml:space="preserve"> for the </w:t>
      </w:r>
      <w:r w:rsidR="00680FFE">
        <w:rPr>
          <w:rFonts w:ascii="Arial" w:hAnsi="Arial" w:cs="Arial"/>
        </w:rPr>
        <w:t>SGUL</w:t>
      </w:r>
      <w:r>
        <w:rPr>
          <w:rFonts w:ascii="Arial" w:hAnsi="Arial" w:cs="Arial"/>
        </w:rPr>
        <w:t xml:space="preserve"> aqueous waste</w:t>
      </w:r>
      <w:r w:rsidRPr="007F24B8">
        <w:rPr>
          <w:rFonts w:ascii="Arial" w:hAnsi="Arial" w:cs="Arial"/>
        </w:rPr>
        <w:t xml:space="preserve"> is collated by the </w:t>
      </w:r>
      <w:r w:rsidR="00FD1510">
        <w:rPr>
          <w:rFonts w:ascii="Arial" w:hAnsi="Arial" w:cs="Arial"/>
        </w:rPr>
        <w:t>SHE Office</w:t>
      </w:r>
      <w:r>
        <w:rPr>
          <w:rFonts w:ascii="Arial" w:hAnsi="Arial" w:cs="Arial"/>
        </w:rPr>
        <w:t>.</w:t>
      </w:r>
    </w:p>
    <w:p w:rsidR="001D01ED" w:rsidP="001D01ED" w:rsidRDefault="001D01ED">
      <w:pPr>
        <w:jc w:val="both"/>
        <w:rPr>
          <w:rFonts w:ascii="Arial" w:hAnsi="Arial" w:cs="Arial"/>
        </w:rPr>
      </w:pPr>
    </w:p>
    <w:p w:rsidR="001D01ED" w:rsidP="001D01ED" w:rsidRDefault="001D01ED">
      <w:pPr>
        <w:jc w:val="both"/>
        <w:outlineLvl w:val="0"/>
        <w:rPr>
          <w:rFonts w:ascii="Arial" w:hAnsi="Arial" w:cs="Arial"/>
          <w:b/>
        </w:rPr>
      </w:pPr>
      <w:r w:rsidRPr="007F24B8">
        <w:rPr>
          <w:rFonts w:ascii="Arial" w:hAnsi="Arial" w:cs="Arial"/>
          <w:b/>
        </w:rPr>
        <w:t>Accumulation of solid waste</w:t>
      </w:r>
    </w:p>
    <w:p w:rsidRPr="00FD1510" w:rsidR="001D01ED" w:rsidP="001D01ED" w:rsidRDefault="001D01ED">
      <w:pPr>
        <w:jc w:val="both"/>
        <w:rPr>
          <w:rFonts w:ascii="Arial" w:hAnsi="Arial" w:cs="Arial"/>
        </w:rPr>
      </w:pPr>
    </w:p>
    <w:p w:rsidR="001D01ED" w:rsidP="001D01ED" w:rsidRDefault="001D01ED">
      <w:pPr>
        <w:jc w:val="both"/>
        <w:rPr>
          <w:rFonts w:ascii="Arial" w:hAnsi="Arial" w:cs="Arial"/>
        </w:rPr>
      </w:pPr>
      <w:r w:rsidRPr="003C48E7">
        <w:rPr>
          <w:rFonts w:ascii="Arial" w:hAnsi="Arial" w:cs="Arial"/>
        </w:rPr>
        <w:t xml:space="preserve">Radioactive waste produced in working areas should be placed in a </w:t>
      </w:r>
      <w:r>
        <w:rPr>
          <w:rFonts w:ascii="Arial" w:hAnsi="Arial" w:cs="Arial"/>
        </w:rPr>
        <w:t>sharps bin or P</w:t>
      </w:r>
      <w:r w:rsidRPr="003C48E7">
        <w:rPr>
          <w:rFonts w:ascii="Arial" w:hAnsi="Arial" w:cs="Arial"/>
        </w:rPr>
        <w:t>erspex bin (as agreed in</w:t>
      </w:r>
      <w:r>
        <w:rPr>
          <w:rFonts w:ascii="Arial" w:hAnsi="Arial" w:cs="Arial"/>
        </w:rPr>
        <w:t xml:space="preserve"> the</w:t>
      </w:r>
      <w:r w:rsidRPr="003C48E7">
        <w:rPr>
          <w:rFonts w:ascii="Arial" w:hAnsi="Arial" w:cs="Arial"/>
        </w:rPr>
        <w:t xml:space="preserve"> experiment proposal). When a bin is started, the date, radionuclide and activity </w:t>
      </w:r>
      <w:r>
        <w:rPr>
          <w:rFonts w:ascii="Arial" w:hAnsi="Arial" w:cs="Arial"/>
        </w:rPr>
        <w:t>must</w:t>
      </w:r>
      <w:r w:rsidRPr="003C48E7">
        <w:rPr>
          <w:rFonts w:ascii="Arial" w:hAnsi="Arial" w:cs="Arial"/>
        </w:rPr>
        <w:t xml:space="preserve"> be recorded on the bin itself and </w:t>
      </w:r>
      <w:r>
        <w:rPr>
          <w:rFonts w:ascii="Arial" w:hAnsi="Arial" w:cs="Arial"/>
        </w:rPr>
        <w:t>a written record also kept</w:t>
      </w:r>
      <w:r w:rsidRPr="003C48E7">
        <w:rPr>
          <w:rFonts w:ascii="Arial" w:hAnsi="Arial" w:cs="Arial"/>
        </w:rPr>
        <w:t>.</w:t>
      </w:r>
      <w:r>
        <w:rPr>
          <w:rFonts w:ascii="Arial" w:hAnsi="Arial" w:cs="Arial"/>
        </w:rPr>
        <w:t xml:space="preserve"> The bin should also be assigned a unique identifier number (the numbering convention is up to the RPS).</w:t>
      </w:r>
    </w:p>
    <w:p w:rsidR="001D01ED" w:rsidP="001D01ED" w:rsidRDefault="001D01ED">
      <w:pPr>
        <w:jc w:val="both"/>
        <w:rPr>
          <w:rFonts w:ascii="Arial" w:hAnsi="Arial" w:cs="Arial"/>
        </w:rPr>
      </w:pPr>
    </w:p>
    <w:p w:rsidR="001D01ED" w:rsidP="001D01ED" w:rsidRDefault="001D01ED">
      <w:pPr>
        <w:jc w:val="both"/>
        <w:rPr>
          <w:rFonts w:ascii="Arial" w:hAnsi="Arial" w:cs="Arial"/>
        </w:rPr>
      </w:pPr>
      <w:r w:rsidRPr="003C48E7">
        <w:rPr>
          <w:rFonts w:ascii="Arial" w:hAnsi="Arial" w:cs="Arial"/>
        </w:rPr>
        <w:t>Different radionuclides must not be mixed in the same bin. After one month since the date the bin was started (or sooner if the bin is full), the bin should be transferred to the</w:t>
      </w:r>
      <w:r>
        <w:rPr>
          <w:rFonts w:ascii="Arial" w:hAnsi="Arial" w:cs="Arial"/>
        </w:rPr>
        <w:t xml:space="preserve"> main</w:t>
      </w:r>
      <w:r w:rsidRPr="003C48E7">
        <w:rPr>
          <w:rFonts w:ascii="Arial" w:hAnsi="Arial" w:cs="Arial"/>
        </w:rPr>
        <w:t xml:space="preserve"> </w:t>
      </w:r>
      <w:r w:rsidR="00680FFE">
        <w:rPr>
          <w:rFonts w:ascii="Arial" w:hAnsi="Arial" w:cs="Arial"/>
        </w:rPr>
        <w:t>SGUL</w:t>
      </w:r>
      <w:r>
        <w:rPr>
          <w:rFonts w:ascii="Arial" w:hAnsi="Arial" w:cs="Arial"/>
        </w:rPr>
        <w:t xml:space="preserve"> radi</w:t>
      </w:r>
      <w:r w:rsidR="00680FFE">
        <w:rPr>
          <w:rFonts w:ascii="Arial" w:hAnsi="Arial" w:cs="Arial"/>
        </w:rPr>
        <w:t xml:space="preserve">ation </w:t>
      </w:r>
      <w:r>
        <w:rPr>
          <w:rFonts w:ascii="Arial" w:hAnsi="Arial" w:cs="Arial"/>
        </w:rPr>
        <w:t>w</w:t>
      </w:r>
      <w:r w:rsidRPr="003C48E7">
        <w:rPr>
          <w:rFonts w:ascii="Arial" w:hAnsi="Arial" w:cs="Arial"/>
        </w:rPr>
        <w:t xml:space="preserve">aste </w:t>
      </w:r>
      <w:r>
        <w:rPr>
          <w:rFonts w:ascii="Arial" w:hAnsi="Arial" w:cs="Arial"/>
        </w:rPr>
        <w:t>s</w:t>
      </w:r>
      <w:r w:rsidRPr="003C48E7">
        <w:rPr>
          <w:rFonts w:ascii="Arial" w:hAnsi="Arial" w:cs="Arial"/>
        </w:rPr>
        <w:t>tore.</w:t>
      </w:r>
      <w:r>
        <w:rPr>
          <w:rFonts w:ascii="Arial" w:hAnsi="Arial" w:cs="Arial"/>
        </w:rPr>
        <w:t xml:space="preserve"> Each bin should be sealed and placed on the appropriate bench allocated until it becomes inactive or is removed by waste contractors for disposal. The </w:t>
      </w:r>
      <w:r w:rsidR="00FD1510">
        <w:rPr>
          <w:rFonts w:ascii="Arial" w:hAnsi="Arial" w:cs="Arial"/>
        </w:rPr>
        <w:t xml:space="preserve">SHE Office </w:t>
      </w:r>
      <w:r>
        <w:rPr>
          <w:rFonts w:ascii="Arial" w:hAnsi="Arial" w:cs="Arial"/>
        </w:rPr>
        <w:t xml:space="preserve">should be contacted on extension </w:t>
      </w:r>
      <w:r w:rsidR="00FD1510">
        <w:rPr>
          <w:rFonts w:ascii="Arial" w:hAnsi="Arial" w:cs="Arial"/>
        </w:rPr>
        <w:t>0637</w:t>
      </w:r>
      <w:r>
        <w:rPr>
          <w:rFonts w:ascii="Arial" w:hAnsi="Arial" w:cs="Arial"/>
        </w:rPr>
        <w:t xml:space="preserve"> to arrange transfer of the waste to store.</w:t>
      </w:r>
    </w:p>
    <w:p w:rsidR="001D01ED" w:rsidP="001D01ED" w:rsidRDefault="001D01ED">
      <w:pPr>
        <w:jc w:val="both"/>
        <w:rPr>
          <w:rFonts w:ascii="Arial" w:hAnsi="Arial" w:cs="Arial"/>
        </w:rPr>
      </w:pPr>
    </w:p>
    <w:p w:rsidR="001D01ED" w:rsidP="001D01ED" w:rsidRDefault="001D01ED">
      <w:pPr>
        <w:jc w:val="both"/>
        <w:rPr>
          <w:rFonts w:ascii="Arial" w:hAnsi="Arial" w:cs="Arial"/>
        </w:rPr>
      </w:pPr>
      <w:r>
        <w:rPr>
          <w:rFonts w:ascii="Arial" w:hAnsi="Arial" w:cs="Arial"/>
        </w:rPr>
        <w:lastRenderedPageBreak/>
        <w:t xml:space="preserve">Each bin must show the following details before it is accepted into the waste store: radionuclide, activity in </w:t>
      </w:r>
      <w:proofErr w:type="spellStart"/>
      <w:r>
        <w:rPr>
          <w:rFonts w:ascii="Arial" w:hAnsi="Arial" w:cs="Arial"/>
        </w:rPr>
        <w:t>megabecquerels</w:t>
      </w:r>
      <w:proofErr w:type="spellEnd"/>
      <w:r>
        <w:rPr>
          <w:rFonts w:ascii="Arial" w:hAnsi="Arial" w:cs="Arial"/>
        </w:rPr>
        <w:t xml:space="preserve"> (</w:t>
      </w:r>
      <w:proofErr w:type="spellStart"/>
      <w:r>
        <w:rPr>
          <w:rFonts w:ascii="Arial" w:hAnsi="Arial" w:cs="Arial"/>
        </w:rPr>
        <w:t>MBq</w:t>
      </w:r>
      <w:proofErr w:type="spellEnd"/>
      <w:r>
        <w:rPr>
          <w:rFonts w:ascii="Arial" w:hAnsi="Arial" w:cs="Arial"/>
        </w:rPr>
        <w:t>), date bin started, department and bin identification number.</w:t>
      </w:r>
    </w:p>
    <w:p w:rsidR="001D01ED" w:rsidP="001D01ED" w:rsidRDefault="001D01ED">
      <w:pPr>
        <w:jc w:val="both"/>
        <w:rPr>
          <w:rFonts w:ascii="Arial" w:hAnsi="Arial" w:cs="Arial"/>
        </w:rPr>
      </w:pPr>
    </w:p>
    <w:p w:rsidR="001D01ED" w:rsidP="001D01ED" w:rsidRDefault="001D01ED">
      <w:pPr>
        <w:jc w:val="both"/>
        <w:rPr>
          <w:rFonts w:ascii="Arial" w:hAnsi="Arial" w:cs="Arial"/>
        </w:rPr>
      </w:pPr>
      <w:r>
        <w:rPr>
          <w:rFonts w:ascii="Arial" w:hAnsi="Arial" w:cs="Arial"/>
        </w:rPr>
        <w:t>All details must be recorded in the log book in the waste store, including the date the waste was received.</w:t>
      </w:r>
    </w:p>
    <w:p w:rsidR="001D01ED" w:rsidP="001D01ED" w:rsidRDefault="001D01ED">
      <w:pPr>
        <w:jc w:val="both"/>
        <w:rPr>
          <w:rFonts w:ascii="Arial" w:hAnsi="Arial" w:cs="Arial"/>
        </w:rPr>
      </w:pPr>
    </w:p>
    <w:p w:rsidR="001D01ED" w:rsidP="001D01ED" w:rsidRDefault="005F1FAB">
      <w:pPr>
        <w:jc w:val="both"/>
        <w:rPr>
          <w:rFonts w:ascii="Arial" w:hAnsi="Arial" w:cs="Arial"/>
        </w:rPr>
      </w:pPr>
      <w:r w:rsidRPr="005F1FAB">
        <w:rPr>
          <w:rFonts w:ascii="Arial" w:hAnsi="Arial" w:cs="Arial"/>
          <w:vertAlign w:val="superscript"/>
        </w:rPr>
        <w:t>32</w:t>
      </w:r>
      <w:r w:rsidR="001D01ED">
        <w:rPr>
          <w:rFonts w:ascii="Arial" w:hAnsi="Arial" w:cs="Arial"/>
        </w:rPr>
        <w:t xml:space="preserve">P, </w:t>
      </w:r>
      <w:r w:rsidRPr="005F1FAB">
        <w:rPr>
          <w:rFonts w:ascii="Arial" w:hAnsi="Arial" w:cs="Arial"/>
          <w:vertAlign w:val="superscript"/>
        </w:rPr>
        <w:t>33</w:t>
      </w:r>
      <w:r w:rsidR="001D01ED">
        <w:rPr>
          <w:rFonts w:ascii="Arial" w:hAnsi="Arial" w:cs="Arial"/>
        </w:rPr>
        <w:t xml:space="preserve">S, </w:t>
      </w:r>
      <w:r w:rsidRPr="005F1FAB">
        <w:rPr>
          <w:rFonts w:ascii="Arial" w:hAnsi="Arial" w:cs="Arial"/>
          <w:vertAlign w:val="superscript"/>
        </w:rPr>
        <w:t>35</w:t>
      </w:r>
      <w:r w:rsidR="001D01ED">
        <w:rPr>
          <w:rFonts w:ascii="Arial" w:hAnsi="Arial" w:cs="Arial"/>
        </w:rPr>
        <w:t xml:space="preserve">S, </w:t>
      </w:r>
      <w:r w:rsidRPr="005F1FAB">
        <w:rPr>
          <w:rFonts w:ascii="Arial" w:hAnsi="Arial" w:cs="Arial"/>
          <w:vertAlign w:val="superscript"/>
        </w:rPr>
        <w:t>51</w:t>
      </w:r>
      <w:r w:rsidR="001D01ED">
        <w:rPr>
          <w:rFonts w:ascii="Arial" w:hAnsi="Arial" w:cs="Arial"/>
        </w:rPr>
        <w:t xml:space="preserve">Cr-51 and </w:t>
      </w:r>
      <w:r w:rsidRPr="005F1FAB">
        <w:rPr>
          <w:rFonts w:ascii="Arial" w:hAnsi="Arial" w:cs="Arial"/>
          <w:vertAlign w:val="superscript"/>
        </w:rPr>
        <w:t>125</w:t>
      </w:r>
      <w:r w:rsidR="001D01ED">
        <w:rPr>
          <w:rFonts w:ascii="Arial" w:hAnsi="Arial" w:cs="Arial"/>
        </w:rPr>
        <w:t xml:space="preserve">I can be decay stored. Based on the total activity declared on the container, the date which the container decays to very low level waste levels is estimated and written in the log book. At this point, the container is monitored with a contamination monitor and if count rate is below twice the background rate, the container is designated at VLLW </w:t>
      </w:r>
      <w:r w:rsidR="00FD1510">
        <w:rPr>
          <w:rFonts w:ascii="Arial" w:hAnsi="Arial" w:cs="Arial"/>
        </w:rPr>
        <w:t xml:space="preserve">(Very Low Level Waste) </w:t>
      </w:r>
      <w:r w:rsidR="001D01ED">
        <w:rPr>
          <w:rFonts w:ascii="Arial" w:hAnsi="Arial" w:cs="Arial"/>
        </w:rPr>
        <w:t xml:space="preserve">and can therefore be disposed of as ordinary waste. Once waste is classified as VLLW in this way, it must be disposed of within 2 weeks. Radioactive markings and references to activity and radionuclide should be removed before disposal, and date of disposal recorded in log book. If count rate is more than twice background level, the container should be retained until it falls below this level and not designed as VLLW until that time. It must be ensured that the total storage time i.e. from the date the bin was started in the lab. until the date of disposal from the waste store must not exceed two years. Contact the </w:t>
      </w:r>
      <w:r w:rsidR="00FD1510">
        <w:rPr>
          <w:rFonts w:ascii="Arial" w:hAnsi="Arial" w:cs="Arial"/>
        </w:rPr>
        <w:t>Radiation Protection Advisor / Radiation Waste Advisor (</w:t>
      </w:r>
      <w:r w:rsidR="001D01ED">
        <w:rPr>
          <w:rFonts w:ascii="Arial" w:hAnsi="Arial" w:cs="Arial"/>
        </w:rPr>
        <w:t>RPA</w:t>
      </w:r>
      <w:r w:rsidR="00FD1510">
        <w:rPr>
          <w:rFonts w:ascii="Arial" w:hAnsi="Arial" w:cs="Arial"/>
        </w:rPr>
        <w:t xml:space="preserve"> / RWA)</w:t>
      </w:r>
      <w:r w:rsidR="001D01ED">
        <w:rPr>
          <w:rFonts w:ascii="Arial" w:hAnsi="Arial" w:cs="Arial"/>
        </w:rPr>
        <w:t xml:space="preserve"> if the count rate from the container exceeds double background after two years storage. Care must be taken to monitor the count rate from the waste bags with an appropriate counter and using a method that gives a reliable count reading. </w:t>
      </w:r>
    </w:p>
    <w:p w:rsidR="001D01ED" w:rsidP="001D01ED" w:rsidRDefault="001D01ED">
      <w:pPr>
        <w:jc w:val="both"/>
        <w:rPr>
          <w:rFonts w:ascii="Arial" w:hAnsi="Arial" w:cs="Arial"/>
        </w:rPr>
      </w:pPr>
    </w:p>
    <w:p w:rsidR="001D01ED" w:rsidP="001D01ED" w:rsidRDefault="001D01ED">
      <w:pPr>
        <w:jc w:val="both"/>
        <w:rPr>
          <w:rFonts w:ascii="Arial" w:hAnsi="Arial" w:cs="Arial"/>
        </w:rPr>
      </w:pPr>
      <w:r>
        <w:rPr>
          <w:rFonts w:ascii="Arial" w:hAnsi="Arial" w:cs="Arial"/>
        </w:rPr>
        <w:t xml:space="preserve">It may also be possible to dispose of small quantities of radioactive waste as VLLW directly from the laboratories. Care </w:t>
      </w:r>
      <w:r w:rsidRPr="006F052E">
        <w:rPr>
          <w:rFonts w:ascii="Arial" w:hAnsi="Arial" w:cs="Arial"/>
          <w:b/>
        </w:rPr>
        <w:t>must</w:t>
      </w:r>
      <w:r>
        <w:rPr>
          <w:rFonts w:ascii="Arial" w:hAnsi="Arial" w:cs="Arial"/>
        </w:rPr>
        <w:t xml:space="preserve"> be taken to ensure that the activity of the waste is below the VLLW limits (400 </w:t>
      </w:r>
      <w:proofErr w:type="spellStart"/>
      <w:r>
        <w:rPr>
          <w:rFonts w:ascii="Arial" w:hAnsi="Arial" w:cs="Arial"/>
        </w:rPr>
        <w:t>kBq</w:t>
      </w:r>
      <w:proofErr w:type="spellEnd"/>
      <w:r>
        <w:rPr>
          <w:rFonts w:ascii="Arial" w:hAnsi="Arial" w:cs="Arial"/>
        </w:rPr>
        <w:t xml:space="preserve"> with no single item exceeding 40 </w:t>
      </w:r>
      <w:proofErr w:type="spellStart"/>
      <w:r>
        <w:rPr>
          <w:rFonts w:ascii="Arial" w:hAnsi="Arial" w:cs="Arial"/>
        </w:rPr>
        <w:t>kBq</w:t>
      </w:r>
      <w:proofErr w:type="spellEnd"/>
      <w:r>
        <w:rPr>
          <w:rFonts w:ascii="Arial" w:hAnsi="Arial" w:cs="Arial"/>
        </w:rPr>
        <w:t xml:space="preserve"> for most beta/gammas and 4 </w:t>
      </w:r>
      <w:proofErr w:type="spellStart"/>
      <w:r>
        <w:rPr>
          <w:rFonts w:ascii="Arial" w:hAnsi="Arial" w:cs="Arial"/>
        </w:rPr>
        <w:t>MBq</w:t>
      </w:r>
      <w:proofErr w:type="spellEnd"/>
      <w:r>
        <w:rPr>
          <w:rFonts w:ascii="Arial" w:hAnsi="Arial" w:cs="Arial"/>
        </w:rPr>
        <w:t xml:space="preserve"> with no single item exceeding 400 </w:t>
      </w:r>
      <w:proofErr w:type="spellStart"/>
      <w:r>
        <w:rPr>
          <w:rFonts w:ascii="Arial" w:hAnsi="Arial" w:cs="Arial"/>
        </w:rPr>
        <w:t>kBq</w:t>
      </w:r>
      <w:proofErr w:type="spellEnd"/>
      <w:r>
        <w:rPr>
          <w:rFonts w:ascii="Arial" w:hAnsi="Arial" w:cs="Arial"/>
        </w:rPr>
        <w:t xml:space="preserve"> for </w:t>
      </w:r>
      <w:r w:rsidRPr="005F1FAB" w:rsidR="005F1FAB">
        <w:rPr>
          <w:rFonts w:ascii="Arial" w:hAnsi="Arial" w:cs="Arial"/>
          <w:vertAlign w:val="superscript"/>
        </w:rPr>
        <w:t>14</w:t>
      </w:r>
      <w:r>
        <w:rPr>
          <w:rFonts w:ascii="Arial" w:hAnsi="Arial" w:cs="Arial"/>
        </w:rPr>
        <w:t xml:space="preserve">C and </w:t>
      </w:r>
      <w:r w:rsidRPr="005F1FAB" w:rsidR="005F1FAB">
        <w:rPr>
          <w:rFonts w:ascii="Arial" w:hAnsi="Arial" w:cs="Arial"/>
          <w:vertAlign w:val="superscript"/>
        </w:rPr>
        <w:t>3</w:t>
      </w:r>
      <w:r>
        <w:rPr>
          <w:rFonts w:ascii="Arial" w:hAnsi="Arial" w:cs="Arial"/>
        </w:rPr>
        <w:t xml:space="preserve">H). Calculations should be made to ensure that the activity of the waste falls below these levels and this should be confirmed by ensuring the background count is below double background. </w:t>
      </w:r>
      <w:smartTag w:uri="urn:schemas-microsoft-com:office:smarttags" w:element="PersonName">
        <w:r>
          <w:rPr>
            <w:rFonts w:ascii="Arial" w:hAnsi="Arial" w:cs="Arial"/>
          </w:rPr>
          <w:t>A</w:t>
        </w:r>
      </w:smartTag>
      <w:r>
        <w:rPr>
          <w:rFonts w:ascii="Arial" w:hAnsi="Arial" w:cs="Arial"/>
        </w:rPr>
        <w:t xml:space="preserve">gain, care must be taken to monitor the count rate from the waste bags with an appropriate counter and using a method that gives a reliable count reading. The person disposing should decide on the appropriate disposal route (i.e. clinical or domestic waste) by considering any potential biohazard. Please consult the </w:t>
      </w:r>
      <w:r w:rsidR="00BC701E">
        <w:rPr>
          <w:rFonts w:ascii="Arial" w:hAnsi="Arial" w:cs="Arial"/>
        </w:rPr>
        <w:t>Radioactive Waste Advisor (</w:t>
      </w:r>
      <w:r>
        <w:rPr>
          <w:rFonts w:ascii="Arial" w:hAnsi="Arial" w:cs="Arial"/>
        </w:rPr>
        <w:t>R</w:t>
      </w:r>
      <w:r w:rsidR="00BC701E">
        <w:rPr>
          <w:rFonts w:ascii="Arial" w:hAnsi="Arial" w:cs="Arial"/>
        </w:rPr>
        <w:t>WA)</w:t>
      </w:r>
      <w:r>
        <w:rPr>
          <w:rFonts w:ascii="Arial" w:hAnsi="Arial" w:cs="Arial"/>
        </w:rPr>
        <w:t xml:space="preserve"> (020 8725 </w:t>
      </w:r>
      <w:r w:rsidR="00FD1510">
        <w:rPr>
          <w:rFonts w:ascii="Arial" w:hAnsi="Arial" w:cs="Arial"/>
        </w:rPr>
        <w:t>3430</w:t>
      </w:r>
      <w:r>
        <w:rPr>
          <w:rFonts w:ascii="Arial" w:hAnsi="Arial" w:cs="Arial"/>
        </w:rPr>
        <w:t xml:space="preserve">) in the event of any doubt before disposing of waste directly from the labs. The bottom part of the waste form should be filled in by the RPS and a copy returned to the </w:t>
      </w:r>
      <w:r w:rsidR="00FD1510">
        <w:rPr>
          <w:rFonts w:ascii="Arial" w:hAnsi="Arial" w:cs="Arial"/>
        </w:rPr>
        <w:t>SHE Office</w:t>
      </w:r>
      <w:r>
        <w:rPr>
          <w:rFonts w:ascii="Arial" w:hAnsi="Arial" w:cs="Arial"/>
        </w:rPr>
        <w:t>.</w:t>
      </w:r>
    </w:p>
    <w:p w:rsidR="001D01ED" w:rsidP="001D01ED" w:rsidRDefault="001D01ED">
      <w:pPr>
        <w:jc w:val="both"/>
        <w:rPr>
          <w:rFonts w:ascii="Arial" w:hAnsi="Arial" w:cs="Arial"/>
        </w:rPr>
      </w:pPr>
    </w:p>
    <w:p w:rsidRPr="003319C5" w:rsidR="001D01ED" w:rsidP="001D01ED" w:rsidRDefault="001D01ED">
      <w:pPr>
        <w:jc w:val="both"/>
        <w:outlineLvl w:val="0"/>
        <w:rPr>
          <w:rFonts w:ascii="Arial" w:hAnsi="Arial" w:cs="Arial"/>
          <w:b/>
        </w:rPr>
      </w:pPr>
      <w:r w:rsidRPr="003319C5">
        <w:rPr>
          <w:rFonts w:ascii="Arial" w:hAnsi="Arial" w:cs="Arial"/>
          <w:b/>
        </w:rPr>
        <w:t>Transfer of solid waste to a contractor</w:t>
      </w:r>
    </w:p>
    <w:p w:rsidR="001D01ED" w:rsidP="001D01ED" w:rsidRDefault="001D01ED">
      <w:pPr>
        <w:jc w:val="both"/>
        <w:rPr>
          <w:rFonts w:ascii="Arial" w:hAnsi="Arial" w:cs="Arial"/>
        </w:rPr>
      </w:pPr>
    </w:p>
    <w:p w:rsidR="001D01ED" w:rsidP="001D01ED" w:rsidRDefault="001D01ED">
      <w:pPr>
        <w:jc w:val="both"/>
        <w:rPr>
          <w:rFonts w:ascii="Arial" w:hAnsi="Arial" w:cs="Arial"/>
        </w:rPr>
      </w:pPr>
      <w:r>
        <w:rPr>
          <w:rFonts w:ascii="Arial" w:hAnsi="Arial" w:cs="Arial"/>
        </w:rPr>
        <w:t>The maximum accumulation time for radioactive waste in the radioactive waste store as stated in the Authorisation is 2 years. If waste cannot be decay stored to VLLW levels within that time it must be collected by a waste contractor before the end of the 2 year period (starting at the date the waste bin was started in the lab, not when it entered the waste store).</w:t>
      </w:r>
    </w:p>
    <w:p w:rsidR="001D01ED" w:rsidP="001D01ED" w:rsidRDefault="001D01ED">
      <w:pPr>
        <w:jc w:val="both"/>
        <w:rPr>
          <w:rFonts w:ascii="Arial" w:hAnsi="Arial" w:cs="Arial"/>
        </w:rPr>
      </w:pPr>
    </w:p>
    <w:p w:rsidR="001D01ED" w:rsidP="001D01ED" w:rsidRDefault="001D01ED">
      <w:pPr>
        <w:jc w:val="both"/>
        <w:outlineLvl w:val="0"/>
        <w:rPr>
          <w:rFonts w:ascii="Arial" w:hAnsi="Arial" w:cs="Arial"/>
        </w:rPr>
      </w:pPr>
      <w:r>
        <w:rPr>
          <w:rFonts w:ascii="Arial" w:hAnsi="Arial" w:cs="Arial"/>
        </w:rPr>
        <w:t>Solid waste disposal limits (transfer to waste disposal contractor)</w:t>
      </w:r>
    </w:p>
    <w:p w:rsidR="001D01ED" w:rsidP="001D01ED" w:rsidRDefault="001D01ED">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0"/>
        <w:gridCol w:w="2841"/>
        <w:gridCol w:w="2841"/>
      </w:tblGrid>
      <w:tr w:rsidRPr="003F481C" w:rsidR="001D01ED" w:rsidTr="003F481C">
        <w:tc>
          <w:tcPr>
            <w:tcW w:w="2840" w:type="dxa"/>
            <w:shd w:val="clear" w:color="auto" w:fill="auto"/>
          </w:tcPr>
          <w:p w:rsidRPr="003F481C" w:rsidR="001D01ED" w:rsidP="003F481C" w:rsidRDefault="001D01ED">
            <w:pPr>
              <w:jc w:val="both"/>
              <w:rPr>
                <w:rFonts w:ascii="Arial" w:hAnsi="Arial" w:cs="Arial"/>
              </w:rPr>
            </w:pPr>
            <w:r w:rsidRPr="003F481C">
              <w:rPr>
                <w:rFonts w:ascii="Arial" w:hAnsi="Arial" w:cs="Arial"/>
              </w:rPr>
              <w:t>Radionuclides</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Monthly limit</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Annual Limit</w:t>
            </w:r>
          </w:p>
        </w:tc>
      </w:tr>
      <w:tr w:rsidRPr="003F481C" w:rsidR="001D01ED" w:rsidTr="003F481C">
        <w:tc>
          <w:tcPr>
            <w:tcW w:w="2840" w:type="dxa"/>
            <w:shd w:val="clear" w:color="auto" w:fill="auto"/>
          </w:tcPr>
          <w:p w:rsidRPr="003F481C" w:rsidR="001D01ED" w:rsidP="003F481C" w:rsidRDefault="005F1FAB">
            <w:pPr>
              <w:jc w:val="both"/>
              <w:rPr>
                <w:rFonts w:ascii="Arial" w:hAnsi="Arial" w:cs="Arial"/>
              </w:rPr>
            </w:pPr>
            <w:r w:rsidRPr="003F481C">
              <w:rPr>
                <w:rFonts w:ascii="Arial" w:hAnsi="Arial" w:cs="Arial"/>
                <w:vertAlign w:val="superscript"/>
              </w:rPr>
              <w:lastRenderedPageBreak/>
              <w:t>14</w:t>
            </w:r>
            <w:r w:rsidRPr="003F481C" w:rsidR="001D01ED">
              <w:rPr>
                <w:rFonts w:ascii="Arial" w:hAnsi="Arial" w:cs="Arial"/>
              </w:rPr>
              <w:t>C</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3MBq</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37MBq</w:t>
            </w:r>
          </w:p>
        </w:tc>
      </w:tr>
      <w:tr w:rsidRPr="003F481C" w:rsidR="001D01ED" w:rsidTr="003F481C">
        <w:tc>
          <w:tcPr>
            <w:tcW w:w="2840" w:type="dxa"/>
            <w:shd w:val="clear" w:color="auto" w:fill="auto"/>
          </w:tcPr>
          <w:p w:rsidRPr="003F481C" w:rsidR="001D01ED" w:rsidP="003F481C" w:rsidRDefault="001D01ED">
            <w:pPr>
              <w:jc w:val="both"/>
              <w:rPr>
                <w:rFonts w:ascii="Arial" w:hAnsi="Arial" w:cs="Arial"/>
              </w:rPr>
            </w:pPr>
            <w:r w:rsidRPr="003F481C">
              <w:rPr>
                <w:rFonts w:ascii="Arial" w:hAnsi="Arial" w:cs="Arial"/>
              </w:rPr>
              <w:t>Tritium</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3MBq</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37MBq</w:t>
            </w:r>
          </w:p>
        </w:tc>
      </w:tr>
      <w:tr w:rsidRPr="003F481C" w:rsidR="001D01ED" w:rsidTr="003F481C">
        <w:tc>
          <w:tcPr>
            <w:tcW w:w="2840" w:type="dxa"/>
            <w:shd w:val="clear" w:color="auto" w:fill="auto"/>
          </w:tcPr>
          <w:p w:rsidRPr="003F481C" w:rsidR="001D01ED" w:rsidP="003F481C" w:rsidRDefault="001D01ED">
            <w:pPr>
              <w:jc w:val="both"/>
              <w:rPr>
                <w:rFonts w:ascii="Arial" w:hAnsi="Arial" w:cs="Arial"/>
              </w:rPr>
            </w:pPr>
            <w:r w:rsidRPr="003F481C">
              <w:rPr>
                <w:rFonts w:ascii="Arial" w:hAnsi="Arial" w:cs="Arial"/>
              </w:rPr>
              <w:t>Any other radionuclide except alpha emitter</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1.6MBq</w:t>
            </w:r>
          </w:p>
        </w:tc>
        <w:tc>
          <w:tcPr>
            <w:tcW w:w="2841" w:type="dxa"/>
            <w:shd w:val="clear" w:color="auto" w:fill="auto"/>
          </w:tcPr>
          <w:p w:rsidRPr="003F481C" w:rsidR="001D01ED" w:rsidP="003F481C" w:rsidRDefault="001D01ED">
            <w:pPr>
              <w:jc w:val="both"/>
              <w:rPr>
                <w:rFonts w:ascii="Arial" w:hAnsi="Arial" w:cs="Arial"/>
              </w:rPr>
            </w:pPr>
            <w:r w:rsidRPr="003F481C">
              <w:rPr>
                <w:rFonts w:ascii="Arial" w:hAnsi="Arial" w:cs="Arial"/>
              </w:rPr>
              <w:t>20MBq</w:t>
            </w:r>
          </w:p>
        </w:tc>
      </w:tr>
    </w:tbl>
    <w:p w:rsidRPr="005F1FAB" w:rsidR="005F1FAB" w:rsidP="001D01ED" w:rsidRDefault="005F1FAB">
      <w:pPr>
        <w:jc w:val="both"/>
        <w:outlineLvl w:val="0"/>
        <w:rPr>
          <w:rFonts w:ascii="Arial" w:hAnsi="Arial" w:cs="Arial"/>
        </w:rPr>
      </w:pPr>
    </w:p>
    <w:p w:rsidRPr="00337B47" w:rsidR="001D01ED" w:rsidP="001D01ED" w:rsidRDefault="001D01ED">
      <w:pPr>
        <w:jc w:val="both"/>
        <w:outlineLvl w:val="0"/>
        <w:rPr>
          <w:rFonts w:ascii="Arial" w:hAnsi="Arial" w:cs="Arial"/>
          <w:b/>
        </w:rPr>
      </w:pPr>
      <w:r>
        <w:rPr>
          <w:rFonts w:ascii="Arial" w:hAnsi="Arial" w:cs="Arial"/>
          <w:b/>
        </w:rPr>
        <w:t>Accumulation of V</w:t>
      </w:r>
      <w:r w:rsidRPr="00337B47">
        <w:rPr>
          <w:rFonts w:ascii="Arial" w:hAnsi="Arial" w:cs="Arial"/>
          <w:b/>
        </w:rPr>
        <w:t xml:space="preserve">ery </w:t>
      </w:r>
      <w:r>
        <w:rPr>
          <w:rFonts w:ascii="Arial" w:hAnsi="Arial" w:cs="Arial"/>
          <w:b/>
        </w:rPr>
        <w:t>L</w:t>
      </w:r>
      <w:r w:rsidRPr="00337B47">
        <w:rPr>
          <w:rFonts w:ascii="Arial" w:hAnsi="Arial" w:cs="Arial"/>
          <w:b/>
        </w:rPr>
        <w:t>ow Level Waste</w:t>
      </w:r>
    </w:p>
    <w:p w:rsidRPr="00337B47" w:rsidR="001D01ED" w:rsidP="001D01ED" w:rsidRDefault="001D01ED">
      <w:pPr>
        <w:jc w:val="both"/>
        <w:rPr>
          <w:rFonts w:ascii="Arial" w:hAnsi="Arial" w:cs="Arial"/>
          <w:b/>
        </w:rPr>
      </w:pPr>
    </w:p>
    <w:p w:rsidR="001D01ED" w:rsidP="001D01ED" w:rsidRDefault="005F1FAB">
      <w:pPr>
        <w:jc w:val="both"/>
        <w:rPr>
          <w:rFonts w:ascii="Arial" w:hAnsi="Arial" w:cs="Arial"/>
        </w:rPr>
      </w:pPr>
      <w:r w:rsidRPr="005F1FAB">
        <w:rPr>
          <w:rFonts w:ascii="Arial" w:hAnsi="Arial" w:cs="Arial"/>
          <w:vertAlign w:val="superscript"/>
        </w:rPr>
        <w:t>14</w:t>
      </w:r>
      <w:r w:rsidR="001D01ED">
        <w:rPr>
          <w:rFonts w:ascii="Arial" w:hAnsi="Arial" w:cs="Arial"/>
        </w:rPr>
        <w:t>C and Tritium cannot be decay stored because of their long half</w:t>
      </w:r>
      <w:r w:rsidR="00FD1510">
        <w:rPr>
          <w:rFonts w:ascii="Arial" w:hAnsi="Arial" w:cs="Arial"/>
        </w:rPr>
        <w:t>-</w:t>
      </w:r>
      <w:r w:rsidR="001D01ED">
        <w:rPr>
          <w:rFonts w:ascii="Arial" w:hAnsi="Arial" w:cs="Arial"/>
        </w:rPr>
        <w:t>life and must be either collected by a waste contractor or disposed of as very low level waste if the conditions below apply.</w:t>
      </w:r>
    </w:p>
    <w:p w:rsidR="001D01ED" w:rsidP="001D01ED" w:rsidRDefault="001D01ED">
      <w:pPr>
        <w:jc w:val="both"/>
        <w:rPr>
          <w:rFonts w:ascii="Arial" w:hAnsi="Arial" w:cs="Arial"/>
        </w:rPr>
      </w:pPr>
    </w:p>
    <w:p w:rsidR="001D01ED" w:rsidP="00680FFE" w:rsidRDefault="00680FFE">
      <w:pPr>
        <w:ind w:left="720" w:hanging="720"/>
        <w:jc w:val="both"/>
        <w:rPr>
          <w:rFonts w:ascii="Arial" w:hAnsi="Arial" w:cs="Arial"/>
        </w:rPr>
      </w:pPr>
      <w:bookmarkStart w:name="OLE_LINK1" w:id="1"/>
      <w:bookmarkStart w:name="OLE_LINK2" w:id="2"/>
      <w:r>
        <w:rPr>
          <w:rFonts w:ascii="Arial" w:hAnsi="Arial" w:cs="Arial"/>
        </w:rPr>
        <w:t>1</w:t>
      </w:r>
      <w:r>
        <w:rPr>
          <w:rFonts w:ascii="Arial" w:hAnsi="Arial" w:cs="Arial"/>
        </w:rPr>
        <w:tab/>
      </w:r>
      <w:r w:rsidR="001D01ED">
        <w:rPr>
          <w:rFonts w:ascii="Arial" w:hAnsi="Arial" w:cs="Arial"/>
        </w:rPr>
        <w:t>The sum total of radionuclide in any 0.1 cubic metres or greater of refuse does not exceed 4MBq</w:t>
      </w:r>
    </w:p>
    <w:p w:rsidR="001D01ED" w:rsidP="001D01ED" w:rsidRDefault="001D01ED">
      <w:pPr>
        <w:jc w:val="both"/>
        <w:rPr>
          <w:rFonts w:ascii="Arial" w:hAnsi="Arial" w:cs="Arial"/>
        </w:rPr>
      </w:pPr>
    </w:p>
    <w:p w:rsidR="001D01ED" w:rsidP="001D01ED" w:rsidRDefault="00680FFE">
      <w:pPr>
        <w:jc w:val="both"/>
        <w:rPr>
          <w:rFonts w:ascii="Arial" w:hAnsi="Arial" w:cs="Arial"/>
        </w:rPr>
      </w:pPr>
      <w:r>
        <w:rPr>
          <w:rFonts w:ascii="Arial" w:hAnsi="Arial" w:cs="Arial"/>
        </w:rPr>
        <w:t>2</w:t>
      </w:r>
      <w:r>
        <w:rPr>
          <w:rFonts w:ascii="Arial" w:hAnsi="Arial" w:cs="Arial"/>
        </w:rPr>
        <w:tab/>
      </w:r>
      <w:r w:rsidR="001D01ED">
        <w:rPr>
          <w:rFonts w:ascii="Arial" w:hAnsi="Arial" w:cs="Arial"/>
        </w:rPr>
        <w:t>The activity of any single item does not exceed 400kBq</w:t>
      </w:r>
    </w:p>
    <w:bookmarkEnd w:id="1"/>
    <w:bookmarkEnd w:id="2"/>
    <w:p w:rsidR="001D01ED" w:rsidP="001D01ED" w:rsidRDefault="001D01ED">
      <w:pPr>
        <w:jc w:val="both"/>
        <w:rPr>
          <w:rFonts w:ascii="Arial" w:hAnsi="Arial" w:cs="Arial"/>
        </w:rPr>
      </w:pPr>
    </w:p>
    <w:p w:rsidR="001D01ED" w:rsidP="001D01ED" w:rsidRDefault="00680FFE">
      <w:pPr>
        <w:jc w:val="both"/>
        <w:rPr>
          <w:rFonts w:ascii="Arial" w:hAnsi="Arial" w:cs="Arial"/>
        </w:rPr>
      </w:pPr>
      <w:r>
        <w:rPr>
          <w:rFonts w:ascii="Arial" w:hAnsi="Arial" w:cs="Arial"/>
        </w:rPr>
        <w:t>3</w:t>
      </w:r>
      <w:r>
        <w:rPr>
          <w:rFonts w:ascii="Arial" w:hAnsi="Arial" w:cs="Arial"/>
        </w:rPr>
        <w:tab/>
      </w:r>
      <w:r w:rsidR="001D01ED">
        <w:rPr>
          <w:rFonts w:ascii="Arial" w:hAnsi="Arial" w:cs="Arial"/>
        </w:rPr>
        <w:t>The maximum period of accumulation of very low level waste is 14 days</w:t>
      </w:r>
    </w:p>
    <w:p w:rsidR="001D01ED" w:rsidP="001D01ED" w:rsidRDefault="001D01ED">
      <w:pPr>
        <w:jc w:val="both"/>
        <w:rPr>
          <w:rFonts w:ascii="Arial" w:hAnsi="Arial" w:cs="Arial"/>
        </w:rPr>
      </w:pPr>
    </w:p>
    <w:p w:rsidR="001D01ED" w:rsidP="001D01ED" w:rsidRDefault="001D01ED">
      <w:pPr>
        <w:jc w:val="both"/>
        <w:rPr>
          <w:rFonts w:ascii="Arial" w:hAnsi="Arial" w:cs="Arial"/>
        </w:rPr>
      </w:pPr>
      <w:r>
        <w:rPr>
          <w:rFonts w:ascii="Arial" w:hAnsi="Arial" w:cs="Arial"/>
        </w:rPr>
        <w:t>Waste that cannot be decay stored or disposed of as VLLW must be collected by a waste contractor within the 2 year accumulation period.</w:t>
      </w:r>
    </w:p>
    <w:p w:rsidR="001D01ED" w:rsidP="001D01ED" w:rsidRDefault="001D01ED">
      <w:pPr>
        <w:jc w:val="both"/>
        <w:rPr>
          <w:rFonts w:ascii="Arial" w:hAnsi="Arial" w:cs="Arial"/>
        </w:rPr>
      </w:pPr>
    </w:p>
    <w:p w:rsidR="001D01ED" w:rsidP="001D01ED" w:rsidRDefault="001D01ED">
      <w:pPr>
        <w:jc w:val="both"/>
        <w:outlineLvl w:val="0"/>
        <w:rPr>
          <w:rFonts w:ascii="Arial" w:hAnsi="Arial" w:cs="Arial"/>
        </w:rPr>
      </w:pPr>
      <w:r>
        <w:rPr>
          <w:rFonts w:ascii="Arial" w:hAnsi="Arial" w:cs="Arial"/>
        </w:rPr>
        <w:t xml:space="preserve">For other beta/ gamma emitters, </w:t>
      </w:r>
    </w:p>
    <w:p w:rsidR="001D01ED" w:rsidP="001D01ED" w:rsidRDefault="001D01ED">
      <w:pPr>
        <w:jc w:val="both"/>
        <w:rPr>
          <w:rFonts w:ascii="Arial" w:hAnsi="Arial" w:cs="Arial"/>
        </w:rPr>
      </w:pPr>
    </w:p>
    <w:p w:rsidR="001D01ED" w:rsidP="00680FFE" w:rsidRDefault="00680FFE">
      <w:pPr>
        <w:ind w:left="780" w:hanging="780"/>
        <w:jc w:val="both"/>
        <w:rPr>
          <w:rFonts w:ascii="Arial" w:hAnsi="Arial" w:cs="Arial"/>
        </w:rPr>
      </w:pPr>
      <w:r>
        <w:rPr>
          <w:rFonts w:ascii="Arial" w:hAnsi="Arial" w:cs="Arial"/>
        </w:rPr>
        <w:t>1</w:t>
      </w:r>
      <w:r>
        <w:rPr>
          <w:rFonts w:ascii="Arial" w:hAnsi="Arial" w:cs="Arial"/>
        </w:rPr>
        <w:tab/>
      </w:r>
      <w:r w:rsidR="001D01ED">
        <w:rPr>
          <w:rFonts w:ascii="Arial" w:hAnsi="Arial" w:cs="Arial"/>
        </w:rPr>
        <w:t xml:space="preserve">The sum total of radionuclide in any 0.1 cubic metres of refuse does not </w:t>
      </w:r>
      <w:r>
        <w:rPr>
          <w:rFonts w:ascii="Arial" w:hAnsi="Arial" w:cs="Arial"/>
        </w:rPr>
        <w:t xml:space="preserve">  </w:t>
      </w:r>
      <w:r w:rsidR="001D01ED">
        <w:rPr>
          <w:rFonts w:ascii="Arial" w:hAnsi="Arial" w:cs="Arial"/>
        </w:rPr>
        <w:t xml:space="preserve">exceed </w:t>
      </w:r>
      <w:r>
        <w:rPr>
          <w:rFonts w:ascii="Arial" w:hAnsi="Arial" w:cs="Arial"/>
        </w:rPr>
        <w:t>0</w:t>
      </w:r>
      <w:r w:rsidR="001D01ED">
        <w:rPr>
          <w:rFonts w:ascii="Arial" w:hAnsi="Arial" w:cs="Arial"/>
        </w:rPr>
        <w:t>.4MBq</w:t>
      </w:r>
    </w:p>
    <w:p w:rsidR="001D01ED" w:rsidP="001D01ED" w:rsidRDefault="001D01ED">
      <w:pPr>
        <w:jc w:val="both"/>
        <w:rPr>
          <w:rFonts w:ascii="Arial" w:hAnsi="Arial" w:cs="Arial"/>
        </w:rPr>
      </w:pPr>
    </w:p>
    <w:p w:rsidR="001D01ED" w:rsidP="001D01ED" w:rsidRDefault="00680FFE">
      <w:pPr>
        <w:jc w:val="both"/>
        <w:rPr>
          <w:rFonts w:ascii="Arial" w:hAnsi="Arial" w:cs="Arial"/>
        </w:rPr>
      </w:pPr>
      <w:r>
        <w:rPr>
          <w:rFonts w:ascii="Arial" w:hAnsi="Arial" w:cs="Arial"/>
        </w:rPr>
        <w:t>2</w:t>
      </w:r>
      <w:r>
        <w:rPr>
          <w:rFonts w:ascii="Arial" w:hAnsi="Arial" w:cs="Arial"/>
        </w:rPr>
        <w:tab/>
      </w:r>
      <w:r w:rsidR="001D01ED">
        <w:rPr>
          <w:rFonts w:ascii="Arial" w:hAnsi="Arial" w:cs="Arial"/>
        </w:rPr>
        <w:t>The activity of any single item does not exceed 40kBq</w:t>
      </w:r>
    </w:p>
    <w:p w:rsidR="001D01ED" w:rsidP="001D01ED" w:rsidRDefault="001D01ED">
      <w:pPr>
        <w:jc w:val="both"/>
        <w:rPr>
          <w:rFonts w:ascii="Arial" w:hAnsi="Arial" w:cs="Arial"/>
        </w:rPr>
      </w:pPr>
    </w:p>
    <w:p w:rsidR="001D01ED" w:rsidP="001D01ED" w:rsidRDefault="001D01ED">
      <w:pPr>
        <w:jc w:val="both"/>
        <w:outlineLvl w:val="0"/>
        <w:rPr>
          <w:rFonts w:ascii="Arial" w:hAnsi="Arial" w:cs="Arial"/>
          <w:b/>
        </w:rPr>
      </w:pPr>
      <w:r w:rsidRPr="004471B6">
        <w:rPr>
          <w:rFonts w:ascii="Arial" w:hAnsi="Arial" w:cs="Arial"/>
          <w:b/>
        </w:rPr>
        <w:t>Disposal of Organic Sol</w:t>
      </w:r>
      <w:r>
        <w:rPr>
          <w:rFonts w:ascii="Arial" w:hAnsi="Arial" w:cs="Arial"/>
          <w:b/>
        </w:rPr>
        <w:t>v</w:t>
      </w:r>
      <w:r w:rsidRPr="004471B6">
        <w:rPr>
          <w:rFonts w:ascii="Arial" w:hAnsi="Arial" w:cs="Arial"/>
          <w:b/>
        </w:rPr>
        <w:t>ent Waste</w:t>
      </w:r>
    </w:p>
    <w:p w:rsidR="001D01ED" w:rsidP="001D01ED" w:rsidRDefault="001D01ED">
      <w:pPr>
        <w:jc w:val="both"/>
        <w:rPr>
          <w:rFonts w:ascii="Arial" w:hAnsi="Arial" w:cs="Arial"/>
        </w:rPr>
      </w:pPr>
    </w:p>
    <w:p w:rsidR="001D01ED" w:rsidP="001D01ED" w:rsidRDefault="001D01ED">
      <w:pPr>
        <w:jc w:val="both"/>
        <w:outlineLvl w:val="0"/>
        <w:rPr>
          <w:rFonts w:ascii="Arial" w:hAnsi="Arial" w:cs="Arial"/>
        </w:rPr>
      </w:pPr>
      <w:r>
        <w:rPr>
          <w:rFonts w:ascii="Arial" w:hAnsi="Arial" w:cs="Arial"/>
        </w:rPr>
        <w:t>Accumulation of organic liquid waste must not exceed the following limits</w:t>
      </w:r>
    </w:p>
    <w:p w:rsidR="001D01ED" w:rsidP="001D01ED" w:rsidRDefault="001D01ED">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261"/>
      </w:tblGrid>
      <w:tr w:rsidRPr="003F481C" w:rsidR="001D01ED" w:rsidTr="003F481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Radionuclides</w:t>
            </w:r>
          </w:p>
        </w:t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Activity Limits</w:t>
            </w:r>
          </w:p>
        </w:tc>
      </w:tr>
      <w:tr w:rsidRPr="003F481C" w:rsidR="001D01ED" w:rsidTr="003F481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Tritium</w:t>
            </w:r>
          </w:p>
        </w:t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40MBq</w:t>
            </w:r>
          </w:p>
        </w:tc>
      </w:tr>
      <w:tr w:rsidRPr="003F481C" w:rsidR="001D01ED" w:rsidTr="003F481C">
        <w:tc>
          <w:tcPr>
            <w:tcW w:w="4261" w:type="dxa"/>
            <w:shd w:val="clear" w:color="auto" w:fill="auto"/>
          </w:tcPr>
          <w:p w:rsidRPr="003F481C" w:rsidR="001D01ED" w:rsidP="003F481C" w:rsidRDefault="005F1FAB">
            <w:pPr>
              <w:jc w:val="both"/>
              <w:rPr>
                <w:rFonts w:ascii="Arial" w:hAnsi="Arial" w:cs="Arial"/>
              </w:rPr>
            </w:pPr>
            <w:r w:rsidRPr="003F481C">
              <w:rPr>
                <w:rFonts w:ascii="Arial" w:hAnsi="Arial" w:cs="Arial"/>
                <w:vertAlign w:val="superscript"/>
              </w:rPr>
              <w:t>14</w:t>
            </w:r>
            <w:r w:rsidRPr="003F481C" w:rsidR="001D01ED">
              <w:rPr>
                <w:rFonts w:ascii="Arial" w:hAnsi="Arial" w:cs="Arial"/>
              </w:rPr>
              <w:t>C</w:t>
            </w:r>
          </w:p>
        </w:t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20MBq</w:t>
            </w:r>
          </w:p>
        </w:tc>
      </w:tr>
      <w:tr w:rsidRPr="003F481C" w:rsidR="001D01ED" w:rsidTr="003F481C">
        <w:tc>
          <w:tcPr>
            <w:tcW w:w="4261" w:type="dxa"/>
            <w:shd w:val="clear" w:color="auto" w:fill="auto"/>
          </w:tcPr>
          <w:p w:rsidRPr="003F481C" w:rsidR="001D01ED" w:rsidP="003F481C" w:rsidRDefault="005F1FAB">
            <w:pPr>
              <w:jc w:val="both"/>
              <w:rPr>
                <w:rFonts w:ascii="Arial" w:hAnsi="Arial" w:cs="Arial"/>
              </w:rPr>
            </w:pPr>
            <w:r w:rsidRPr="003F481C">
              <w:rPr>
                <w:rFonts w:ascii="Arial" w:hAnsi="Arial" w:cs="Arial"/>
                <w:vertAlign w:val="superscript"/>
              </w:rPr>
              <w:t>125</w:t>
            </w:r>
            <w:r w:rsidRPr="003F481C" w:rsidR="001D01ED">
              <w:rPr>
                <w:rFonts w:ascii="Arial" w:hAnsi="Arial" w:cs="Arial"/>
              </w:rPr>
              <w:t>I</w:t>
            </w:r>
          </w:p>
        </w:t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370MBq</w:t>
            </w:r>
          </w:p>
        </w:tc>
      </w:tr>
      <w:tr w:rsidRPr="003F481C" w:rsidR="001D01ED" w:rsidTr="003F481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Any other nuclides except alpha emitter</w:t>
            </w:r>
          </w:p>
        </w:tc>
        <w:tc>
          <w:tcPr>
            <w:tcW w:w="4261" w:type="dxa"/>
            <w:shd w:val="clear" w:color="auto" w:fill="auto"/>
          </w:tcPr>
          <w:p w:rsidRPr="003F481C" w:rsidR="001D01ED" w:rsidP="003F481C" w:rsidRDefault="001D01ED">
            <w:pPr>
              <w:jc w:val="both"/>
              <w:rPr>
                <w:rFonts w:ascii="Arial" w:hAnsi="Arial" w:cs="Arial"/>
              </w:rPr>
            </w:pPr>
            <w:r w:rsidRPr="003F481C">
              <w:rPr>
                <w:rFonts w:ascii="Arial" w:hAnsi="Arial" w:cs="Arial"/>
              </w:rPr>
              <w:t>1.2GBq in total</w:t>
            </w:r>
          </w:p>
        </w:tc>
      </w:tr>
    </w:tbl>
    <w:p w:rsidR="001D01ED" w:rsidP="001D01ED" w:rsidRDefault="001D01ED">
      <w:pPr>
        <w:jc w:val="both"/>
        <w:rPr>
          <w:rFonts w:ascii="Arial" w:hAnsi="Arial" w:cs="Arial"/>
        </w:rPr>
      </w:pPr>
    </w:p>
    <w:p w:rsidR="001D01ED" w:rsidP="00680FFE" w:rsidRDefault="001D01ED">
      <w:pPr>
        <w:ind w:left="720" w:hanging="720"/>
        <w:jc w:val="both"/>
        <w:rPr>
          <w:rFonts w:ascii="Arial" w:hAnsi="Arial" w:cs="Arial"/>
        </w:rPr>
      </w:pPr>
      <w:r>
        <w:rPr>
          <w:rFonts w:ascii="Arial" w:hAnsi="Arial" w:cs="Arial"/>
        </w:rPr>
        <w:t>1</w:t>
      </w:r>
      <w:r w:rsidR="00680FFE">
        <w:rPr>
          <w:rFonts w:ascii="Arial" w:hAnsi="Arial" w:cs="Arial"/>
        </w:rPr>
        <w:tab/>
      </w:r>
      <w:r>
        <w:rPr>
          <w:rFonts w:ascii="Arial" w:hAnsi="Arial" w:cs="Arial"/>
        </w:rPr>
        <w:t xml:space="preserve">Workers intending to generate organic </w:t>
      </w:r>
      <w:proofErr w:type="spellStart"/>
      <w:r>
        <w:rPr>
          <w:rFonts w:ascii="Arial" w:hAnsi="Arial" w:cs="Arial"/>
        </w:rPr>
        <w:t>scintillant</w:t>
      </w:r>
      <w:proofErr w:type="spellEnd"/>
      <w:r>
        <w:rPr>
          <w:rFonts w:ascii="Arial" w:hAnsi="Arial" w:cs="Arial"/>
        </w:rPr>
        <w:t xml:space="preserve"> waste must obtain an activity limit from the RPO specified in the Local Rules to ensure compliance with the Authorisation</w:t>
      </w:r>
    </w:p>
    <w:p w:rsidR="001D01ED" w:rsidP="001D01ED" w:rsidRDefault="001D01ED">
      <w:pPr>
        <w:jc w:val="both"/>
        <w:rPr>
          <w:rFonts w:ascii="Arial" w:hAnsi="Arial" w:cs="Arial"/>
        </w:rPr>
      </w:pPr>
    </w:p>
    <w:p w:rsidR="001D01ED" w:rsidP="00680FFE" w:rsidRDefault="001D01ED">
      <w:pPr>
        <w:ind w:left="720" w:hanging="720"/>
        <w:jc w:val="both"/>
        <w:rPr>
          <w:rFonts w:ascii="Arial" w:hAnsi="Arial" w:cs="Arial"/>
        </w:rPr>
      </w:pPr>
      <w:r>
        <w:rPr>
          <w:rFonts w:ascii="Arial" w:hAnsi="Arial" w:cs="Arial"/>
        </w:rPr>
        <w:t>2</w:t>
      </w:r>
      <w:r w:rsidR="00680FFE">
        <w:rPr>
          <w:rFonts w:ascii="Arial" w:hAnsi="Arial" w:cs="Arial"/>
        </w:rPr>
        <w:tab/>
      </w:r>
      <w:r w:rsidRPr="004471B6">
        <w:rPr>
          <w:rFonts w:ascii="Arial" w:hAnsi="Arial" w:cs="Arial"/>
        </w:rPr>
        <w:t xml:space="preserve">The University provides 30 litre plastic drums for the disposal of vials of </w:t>
      </w:r>
      <w:proofErr w:type="spellStart"/>
      <w:r w:rsidRPr="004471B6">
        <w:rPr>
          <w:rFonts w:ascii="Arial" w:hAnsi="Arial" w:cs="Arial"/>
        </w:rPr>
        <w:t>scintillant</w:t>
      </w:r>
      <w:proofErr w:type="spellEnd"/>
      <w:r w:rsidRPr="004471B6">
        <w:rPr>
          <w:rFonts w:ascii="Arial" w:hAnsi="Arial" w:cs="Arial"/>
        </w:rPr>
        <w:t xml:space="preserve"> waste. There is no need to empty vials prior to disposal</w:t>
      </w:r>
      <w:r>
        <w:rPr>
          <w:rFonts w:ascii="Arial" w:hAnsi="Arial" w:cs="Arial"/>
        </w:rPr>
        <w:t>.</w:t>
      </w:r>
    </w:p>
    <w:p w:rsidR="001D01ED" w:rsidP="001D01ED" w:rsidRDefault="001D01ED">
      <w:pPr>
        <w:jc w:val="both"/>
        <w:rPr>
          <w:rFonts w:ascii="Arial" w:hAnsi="Arial" w:cs="Arial"/>
        </w:rPr>
      </w:pPr>
    </w:p>
    <w:p w:rsidR="001D01ED" w:rsidP="00680FFE" w:rsidRDefault="001D01ED">
      <w:pPr>
        <w:ind w:left="720" w:hanging="720"/>
        <w:jc w:val="both"/>
        <w:rPr>
          <w:rFonts w:ascii="Arial" w:hAnsi="Arial" w:cs="Arial"/>
        </w:rPr>
      </w:pPr>
      <w:r>
        <w:rPr>
          <w:rFonts w:ascii="Arial" w:hAnsi="Arial" w:cs="Arial"/>
        </w:rPr>
        <w:t>3</w:t>
      </w:r>
      <w:r w:rsidR="00680FFE">
        <w:rPr>
          <w:rFonts w:ascii="Arial" w:hAnsi="Arial" w:cs="Arial"/>
        </w:rPr>
        <w:tab/>
      </w:r>
      <w:r>
        <w:rPr>
          <w:rFonts w:ascii="Arial" w:hAnsi="Arial" w:cs="Arial"/>
        </w:rPr>
        <w:t xml:space="preserve">Each bin must be labelled with the department, radionuclides, activity, date the drum was opened and a unique identification number. Details must be recorded the same day and a written totalled monthly return submitted to the RPO within </w:t>
      </w:r>
      <w:r>
        <w:rPr>
          <w:rFonts w:ascii="Arial" w:hAnsi="Arial" w:cs="Arial"/>
        </w:rPr>
        <w:lastRenderedPageBreak/>
        <w:t xml:space="preserve">one week of the new month. </w:t>
      </w:r>
      <w:r w:rsidRPr="003C48E7">
        <w:rPr>
          <w:rFonts w:ascii="Arial" w:hAnsi="Arial" w:cs="Arial"/>
        </w:rPr>
        <w:t xml:space="preserve">After one month since the date the bin was started (or sooner if the bin is full), the bin should be transferred to the </w:t>
      </w:r>
      <w:r w:rsidR="00680FFE">
        <w:rPr>
          <w:rFonts w:ascii="Arial" w:hAnsi="Arial" w:cs="Arial"/>
        </w:rPr>
        <w:t>SGUL</w:t>
      </w:r>
      <w:r w:rsidRPr="003C48E7">
        <w:rPr>
          <w:rFonts w:ascii="Arial" w:hAnsi="Arial" w:cs="Arial"/>
        </w:rPr>
        <w:t xml:space="preserve"> </w:t>
      </w:r>
      <w:r>
        <w:rPr>
          <w:rFonts w:ascii="Arial" w:hAnsi="Arial" w:cs="Arial"/>
        </w:rPr>
        <w:t>Radi</w:t>
      </w:r>
      <w:r w:rsidR="00680FFE">
        <w:rPr>
          <w:rFonts w:ascii="Arial" w:hAnsi="Arial" w:cs="Arial"/>
        </w:rPr>
        <w:t xml:space="preserve">ation </w:t>
      </w:r>
      <w:r w:rsidRPr="003C48E7">
        <w:rPr>
          <w:rFonts w:ascii="Arial" w:hAnsi="Arial" w:cs="Arial"/>
        </w:rPr>
        <w:t>Waste Store.</w:t>
      </w:r>
    </w:p>
    <w:p w:rsidR="001D01ED" w:rsidP="001D01ED" w:rsidRDefault="001D01ED">
      <w:pPr>
        <w:jc w:val="both"/>
        <w:rPr>
          <w:rFonts w:ascii="Arial" w:hAnsi="Arial" w:cs="Arial"/>
        </w:rPr>
      </w:pPr>
    </w:p>
    <w:p w:rsidR="001D01ED" w:rsidP="001D01ED" w:rsidRDefault="001D01ED">
      <w:pPr>
        <w:jc w:val="both"/>
        <w:outlineLvl w:val="0"/>
        <w:rPr>
          <w:rFonts w:ascii="Arial" w:hAnsi="Arial" w:cs="Arial"/>
        </w:rPr>
      </w:pPr>
      <w:r>
        <w:rPr>
          <w:rFonts w:ascii="Arial" w:hAnsi="Arial" w:cs="Arial"/>
        </w:rPr>
        <w:t>4</w:t>
      </w:r>
      <w:r w:rsidR="00680FFE">
        <w:rPr>
          <w:rFonts w:ascii="Arial" w:hAnsi="Arial" w:cs="Arial"/>
        </w:rPr>
        <w:tab/>
      </w:r>
      <w:r>
        <w:rPr>
          <w:rFonts w:ascii="Arial" w:hAnsi="Arial" w:cs="Arial"/>
        </w:rPr>
        <w:t>Enter the waste store log book and keep all disposal records for inspection.</w:t>
      </w:r>
    </w:p>
    <w:p w:rsidR="001D01ED" w:rsidP="001D01ED" w:rsidRDefault="001D01ED">
      <w:pPr>
        <w:jc w:val="both"/>
        <w:rPr>
          <w:rFonts w:ascii="Arial" w:hAnsi="Arial" w:cs="Arial"/>
        </w:rPr>
      </w:pPr>
    </w:p>
    <w:p w:rsidR="001D01ED" w:rsidP="00680FFE" w:rsidRDefault="001D01ED">
      <w:pPr>
        <w:ind w:left="720" w:hanging="720"/>
        <w:jc w:val="both"/>
        <w:rPr>
          <w:rFonts w:ascii="Arial" w:hAnsi="Arial" w:cs="Arial"/>
        </w:rPr>
      </w:pPr>
      <w:r>
        <w:rPr>
          <w:rFonts w:ascii="Arial" w:hAnsi="Arial" w:cs="Arial"/>
        </w:rPr>
        <w:t>5</w:t>
      </w:r>
      <w:r w:rsidR="00680FFE">
        <w:rPr>
          <w:rFonts w:ascii="Arial" w:hAnsi="Arial" w:cs="Arial"/>
        </w:rPr>
        <w:tab/>
      </w:r>
      <w:r>
        <w:rPr>
          <w:rFonts w:ascii="Arial" w:hAnsi="Arial" w:cs="Arial"/>
        </w:rPr>
        <w:t>Organic liquid waste must be collected by a waste contractor within 12 months of being generated</w:t>
      </w:r>
    </w:p>
    <w:sectPr w:rsidR="001D01ED" w:rsidSect="00C21B59">
      <w:headerReference w:type="default" r:id="rId7"/>
      <w:footerReference w:type="even" r:id="rId8"/>
      <w:footerReference w:type="default" r:id="rId9"/>
      <w:pgSz w:w="11907" w:h="16840" w:code="9"/>
      <w:pgMar w:top="1259" w:right="1264" w:bottom="1077" w:left="1622"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0A" w:rsidRDefault="0038660A">
      <w:r>
        <w:separator/>
      </w:r>
    </w:p>
  </w:endnote>
  <w:endnote w:type="continuationSeparator" w:id="0">
    <w:p w:rsidR="0038660A" w:rsidRDefault="0038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CA6" w:rsidRDefault="00070CA6" w:rsidP="003C2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70CA6" w:rsidRDefault="00070CA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2B4" w:rsidRPr="003C22B4" w:rsidRDefault="003C22B4" w:rsidP="003C22B4">
    <w:pPr>
      <w:pStyle w:val="Footer"/>
      <w:framePr w:wrap="around" w:vAnchor="text" w:hAnchor="page" w:x="6123" w:y="-240"/>
      <w:rPr>
        <w:rStyle w:val="PageNumber"/>
        <w:rFonts w:ascii="Arial" w:hAnsi="Arial" w:cs="Arial"/>
        <w:sz w:val="18"/>
        <w:szCs w:val="18"/>
      </w:rPr>
    </w:pPr>
    <w:r w:rsidRPr="003C22B4">
      <w:rPr>
        <w:rStyle w:val="PageNumber"/>
        <w:rFonts w:ascii="Arial" w:hAnsi="Arial" w:cs="Arial"/>
        <w:sz w:val="18"/>
        <w:szCs w:val="18"/>
      </w:rPr>
      <w:fldChar w:fldCharType="begin"/>
    </w:r>
    <w:r w:rsidRPr="003C22B4">
      <w:rPr>
        <w:rStyle w:val="PageNumber"/>
        <w:rFonts w:ascii="Arial" w:hAnsi="Arial" w:cs="Arial"/>
        <w:sz w:val="18"/>
        <w:szCs w:val="18"/>
      </w:rPr>
      <w:instrText xml:space="preserve">PAGE  </w:instrText>
    </w:r>
    <w:r w:rsidRPr="003C22B4">
      <w:rPr>
        <w:rStyle w:val="PageNumber"/>
        <w:rFonts w:ascii="Arial" w:hAnsi="Arial" w:cs="Arial"/>
        <w:sz w:val="18"/>
        <w:szCs w:val="18"/>
      </w:rPr>
      <w:fldChar w:fldCharType="separate"/>
    </w:r>
    <w:r w:rsidR="008D2ABC">
      <w:rPr>
        <w:rStyle w:val="PageNumber"/>
        <w:rFonts w:ascii="Arial" w:hAnsi="Arial" w:cs="Arial"/>
        <w:noProof/>
        <w:sz w:val="18"/>
        <w:szCs w:val="18"/>
      </w:rPr>
      <w:t>5</w:t>
    </w:r>
    <w:r w:rsidRPr="003C22B4">
      <w:rPr>
        <w:rStyle w:val="PageNumber"/>
        <w:rFonts w:ascii="Arial" w:hAnsi="Arial" w:cs="Arial"/>
        <w:sz w:val="18"/>
        <w:szCs w:val="18"/>
      </w:rPr>
      <w:fldChar w:fldCharType="end"/>
    </w:r>
  </w:p>
  <w:p w:rsidR="00070CA6" w:rsidRPr="00BC701E" w:rsidRDefault="00BC701E" w:rsidP="00BC701E">
    <w:pPr>
      <w:pStyle w:val="Footer"/>
      <w:ind w:firstLine="360"/>
      <w:rPr>
        <w:rFonts w:ascii="Arial" w:hAnsi="Arial" w:cs="Arial"/>
      </w:rPr>
    </w:pPr>
    <w:r w:rsidRPr="00BC701E">
      <w:rPr>
        <w:rFonts w:ascii="Arial" w:hAnsi="Arial" w:cs="Arial"/>
      </w:rPr>
      <w:t>Procedure for Disposal of Radioactive waste</w:t>
    </w:r>
    <w:r>
      <w:rPr>
        <w:rFonts w:ascii="Arial" w:hAnsi="Arial" w:cs="Arial"/>
      </w:rPr>
      <w:t xml:space="preserve"> </w:t>
    </w:r>
    <w:r w:rsidRPr="00BC701E">
      <w:rPr>
        <w:rFonts w:ascii="Arial" w:hAnsi="Arial" w:cs="Arial"/>
      </w:rPr>
      <w:t>SHEP35</w:t>
    </w:r>
    <w:r>
      <w:rPr>
        <w:rFonts w:ascii="Arial" w:hAnsi="Arial" w:cs="Arial"/>
      </w:rPr>
      <w:tab/>
    </w:r>
    <w:r w:rsidR="00FD1510">
      <w:rPr>
        <w:rFonts w:ascii="Arial" w:hAnsi="Arial" w:cs="Arial"/>
      </w:rPr>
      <w:t xml:space="preserve">July </w:t>
    </w:r>
    <w:r>
      <w:rPr>
        <w:rFonts w:ascii="Arial" w:hAnsi="Arial" w:cs="Arial"/>
      </w:rPr>
      <w:t>201</w:t>
    </w:r>
    <w:r w:rsidR="00FD1510">
      <w:rPr>
        <w:rFonts w:ascii="Arial" w:hAnsi="Arial" w:cs="Arial"/>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0A" w:rsidRDefault="0038660A">
      <w:r>
        <w:separator/>
      </w:r>
    </w:p>
  </w:footnote>
  <w:footnote w:type="continuationSeparator" w:id="0">
    <w:p w:rsidR="0038660A" w:rsidRDefault="00386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108" w:type="dxa"/>
      <w:tblBorders>
        <w:top w:val="single" w:sz="4" w:space="0" w:color="auto"/>
        <w:left w:val="single" w:sz="4" w:space="0" w:color="auto"/>
        <w:bottom w:val="single" w:sz="12" w:space="0" w:color="auto"/>
        <w:right w:val="single" w:sz="4" w:space="0" w:color="auto"/>
      </w:tblBorders>
      <w:tblLayout w:type="fixed"/>
      <w:tblLook w:val="0000" w:firstRow="0" w:lastRow="0" w:firstColumn="0" w:lastColumn="0" w:noHBand="0" w:noVBand="0"/>
    </w:tblPr>
    <w:tblGrid>
      <w:gridCol w:w="1620"/>
      <w:gridCol w:w="900"/>
      <w:gridCol w:w="3060"/>
      <w:gridCol w:w="1800"/>
      <w:gridCol w:w="1980"/>
    </w:tblGrid>
    <w:tr w:rsidR="0046164A" w:rsidTr="00A8453B">
      <w:trPr>
        <w:cantSplit/>
        <w:trHeight w:hRule="exact" w:val="300"/>
      </w:trPr>
      <w:tc>
        <w:tcPr>
          <w:tcW w:w="1620" w:type="dxa"/>
          <w:vMerge w:val="restart"/>
          <w:tcBorders>
            <w:right w:val="single" w:sz="4" w:space="0" w:color="auto"/>
          </w:tcBorders>
        </w:tcPr>
        <w:p w:rsidR="0046164A" w:rsidRDefault="0012356D" w:rsidP="00A8453B">
          <w:pPr>
            <w:pStyle w:val="Header"/>
            <w:tabs>
              <w:tab w:val="right" w:pos="8681"/>
            </w:tabs>
            <w:spacing w:before="60"/>
            <w:ind w:left="-108" w:right="-108"/>
            <w:rPr>
              <w:sz w:val="20"/>
            </w:rPr>
          </w:pPr>
          <w:r w:rsidRPr="00DF0D72">
            <w:rPr>
              <w:b/>
              <w:noProof/>
              <w:szCs w:val="24"/>
              <w:lang w:eastAsia="en-GB"/>
            </w:rPr>
            <w:drawing>
              <wp:inline distT="0" distB="0" distL="0" distR="0">
                <wp:extent cx="914400" cy="685800"/>
                <wp:effectExtent l="0" t="0" r="0" b="0"/>
                <wp:docPr id="1" name="Picture 1" descr="080208 st geo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0208 st geor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inline>
            </w:drawing>
          </w:r>
        </w:p>
      </w:tc>
      <w:tc>
        <w:tcPr>
          <w:tcW w:w="7740" w:type="dxa"/>
          <w:gridSpan w:val="4"/>
          <w:tcBorders>
            <w:top w:val="single" w:sz="4" w:space="0" w:color="auto"/>
            <w:left w:val="single" w:sz="4" w:space="0" w:color="auto"/>
            <w:bottom w:val="single" w:sz="4" w:space="0" w:color="auto"/>
          </w:tcBorders>
        </w:tcPr>
        <w:p w:rsidR="0046164A" w:rsidRPr="00766DD4" w:rsidRDefault="00C80A1E" w:rsidP="00A8453B">
          <w:pPr>
            <w:pStyle w:val="Header"/>
            <w:spacing w:before="60"/>
            <w:jc w:val="center"/>
            <w:rPr>
              <w:rFonts w:ascii="Arial" w:hAnsi="Arial" w:cs="Arial"/>
              <w:sz w:val="16"/>
              <w:szCs w:val="16"/>
            </w:rPr>
          </w:pPr>
          <w:smartTag w:uri="urn:schemas-microsoft-com:office:smarttags" w:element="PlaceName">
            <w:r>
              <w:rPr>
                <w:rFonts w:ascii="Arial" w:hAnsi="Arial" w:cs="Arial"/>
                <w:sz w:val="16"/>
                <w:szCs w:val="16"/>
              </w:rPr>
              <w:t>St George’s</w:t>
            </w:r>
          </w:smartTag>
          <w:r>
            <w:rPr>
              <w:rFonts w:ascii="Arial" w:hAnsi="Arial" w:cs="Arial"/>
              <w:sz w:val="16"/>
              <w:szCs w:val="16"/>
            </w:rPr>
            <w:t xml:space="preserve"> </w:t>
          </w:r>
          <w:smartTag w:uri="urn:schemas-microsoft-com:office:smarttags" w:element="PlaceType">
            <w:r>
              <w:rPr>
                <w:rFonts w:ascii="Arial" w:hAnsi="Arial" w:cs="Arial"/>
                <w:sz w:val="16"/>
                <w:szCs w:val="16"/>
              </w:rPr>
              <w:t>University</w:t>
            </w:r>
          </w:smartTag>
          <w:r>
            <w:rPr>
              <w:rFonts w:ascii="Arial" w:hAnsi="Arial" w:cs="Arial"/>
              <w:sz w:val="16"/>
              <w:szCs w:val="16"/>
            </w:rPr>
            <w:t xml:space="preserve"> of </w:t>
          </w:r>
          <w:smartTag w:uri="urn:schemas-microsoft-com:office:smarttags" w:element="City">
            <w:smartTag w:uri="urn:schemas-microsoft-com:office:smarttags" w:element="place">
              <w:r>
                <w:rPr>
                  <w:rFonts w:ascii="Arial" w:hAnsi="Arial" w:cs="Arial"/>
                  <w:sz w:val="16"/>
                  <w:szCs w:val="16"/>
                </w:rPr>
                <w:t>London</w:t>
              </w:r>
            </w:smartTag>
          </w:smartTag>
        </w:p>
      </w:tc>
    </w:tr>
    <w:tr w:rsidR="0046164A" w:rsidTr="00A8453B">
      <w:trPr>
        <w:cantSplit/>
        <w:trHeight w:val="380"/>
      </w:trPr>
      <w:tc>
        <w:tcPr>
          <w:tcW w:w="1620" w:type="dxa"/>
          <w:vMerge/>
          <w:tcBorders>
            <w:right w:val="single" w:sz="4" w:space="0" w:color="auto"/>
          </w:tcBorders>
        </w:tcPr>
        <w:p w:rsidR="0046164A" w:rsidRDefault="0046164A" w:rsidP="00A8453B">
          <w:pPr>
            <w:pStyle w:val="Header"/>
            <w:spacing w:before="160" w:after="80"/>
            <w:rPr>
              <w:sz w:val="20"/>
            </w:rPr>
          </w:pPr>
        </w:p>
      </w:tc>
      <w:tc>
        <w:tcPr>
          <w:tcW w:w="900" w:type="dxa"/>
          <w:tcBorders>
            <w:top w:val="single" w:sz="4" w:space="0" w:color="auto"/>
            <w:left w:val="single" w:sz="4" w:space="0" w:color="auto"/>
            <w:bottom w:val="nil"/>
          </w:tcBorders>
        </w:tcPr>
        <w:p w:rsidR="0046164A" w:rsidRPr="00766DD4" w:rsidRDefault="0046164A" w:rsidP="00A8453B">
          <w:pPr>
            <w:pStyle w:val="Header"/>
            <w:spacing w:before="160" w:after="80"/>
            <w:rPr>
              <w:rFonts w:ascii="Arial" w:hAnsi="Arial" w:cs="Arial"/>
              <w:sz w:val="16"/>
              <w:szCs w:val="16"/>
            </w:rPr>
          </w:pPr>
          <w:r w:rsidRPr="00766DD4">
            <w:rPr>
              <w:rFonts w:ascii="Arial" w:hAnsi="Arial" w:cs="Arial"/>
              <w:sz w:val="16"/>
              <w:szCs w:val="16"/>
            </w:rPr>
            <w:t>Title:</w:t>
          </w:r>
        </w:p>
      </w:tc>
      <w:tc>
        <w:tcPr>
          <w:tcW w:w="3060" w:type="dxa"/>
          <w:tcBorders>
            <w:top w:val="single" w:sz="4" w:space="0" w:color="auto"/>
          </w:tcBorders>
        </w:tcPr>
        <w:p w:rsidR="0046164A" w:rsidRPr="00766DD4" w:rsidRDefault="001D01ED" w:rsidP="00A8453B">
          <w:pPr>
            <w:pStyle w:val="Header"/>
            <w:spacing w:before="160" w:after="80"/>
            <w:rPr>
              <w:rFonts w:ascii="Arial" w:hAnsi="Arial" w:cs="Arial"/>
              <w:sz w:val="16"/>
              <w:szCs w:val="16"/>
            </w:rPr>
          </w:pPr>
          <w:r>
            <w:rPr>
              <w:rFonts w:ascii="Arial" w:hAnsi="Arial" w:cs="Arial"/>
              <w:sz w:val="16"/>
              <w:szCs w:val="16"/>
            </w:rPr>
            <w:t>Procedure  for Disposal of Radioactive Waste</w:t>
          </w:r>
        </w:p>
      </w:tc>
      <w:tc>
        <w:tcPr>
          <w:tcW w:w="1800" w:type="dxa"/>
          <w:tcBorders>
            <w:top w:val="single" w:sz="4" w:space="0" w:color="auto"/>
          </w:tcBorders>
        </w:tcPr>
        <w:p w:rsidR="0046164A" w:rsidRPr="00766DD4" w:rsidRDefault="0046164A" w:rsidP="00A8453B">
          <w:pPr>
            <w:pStyle w:val="Header"/>
            <w:spacing w:before="160" w:after="80"/>
            <w:ind w:right="-108"/>
            <w:rPr>
              <w:rFonts w:ascii="Arial" w:hAnsi="Arial" w:cs="Arial"/>
              <w:sz w:val="16"/>
              <w:szCs w:val="16"/>
            </w:rPr>
          </w:pPr>
          <w:r>
            <w:rPr>
              <w:rFonts w:ascii="Arial" w:hAnsi="Arial" w:cs="Arial"/>
              <w:sz w:val="16"/>
              <w:szCs w:val="16"/>
            </w:rPr>
            <w:t xml:space="preserve">Author: </w:t>
          </w:r>
          <w:r w:rsidR="001D01ED">
            <w:rPr>
              <w:rFonts w:ascii="Arial" w:hAnsi="Arial" w:cs="Arial"/>
              <w:sz w:val="16"/>
              <w:szCs w:val="16"/>
            </w:rPr>
            <w:t>A. Harris</w:t>
          </w:r>
        </w:p>
      </w:tc>
      <w:tc>
        <w:tcPr>
          <w:tcW w:w="1980" w:type="dxa"/>
          <w:tcBorders>
            <w:top w:val="single" w:sz="4" w:space="0" w:color="auto"/>
          </w:tcBorders>
        </w:tcPr>
        <w:p w:rsidR="0046164A" w:rsidRPr="00766DD4" w:rsidRDefault="0046164A" w:rsidP="00A8453B">
          <w:pPr>
            <w:pStyle w:val="Header"/>
            <w:spacing w:before="160" w:after="80"/>
            <w:rPr>
              <w:rFonts w:ascii="Arial" w:hAnsi="Arial" w:cs="Arial"/>
              <w:sz w:val="16"/>
              <w:szCs w:val="16"/>
            </w:rPr>
          </w:pPr>
          <w:r>
            <w:rPr>
              <w:rFonts w:ascii="Arial" w:hAnsi="Arial" w:cs="Arial"/>
              <w:sz w:val="16"/>
              <w:szCs w:val="16"/>
            </w:rPr>
            <w:t>Date:</w:t>
          </w:r>
          <w:r w:rsidR="00FA7C0B">
            <w:rPr>
              <w:rFonts w:ascii="Arial" w:hAnsi="Arial" w:cs="Arial"/>
              <w:sz w:val="16"/>
              <w:szCs w:val="16"/>
            </w:rPr>
            <w:t xml:space="preserve"> </w:t>
          </w:r>
          <w:r w:rsidR="00C21B59">
            <w:rPr>
              <w:rFonts w:ascii="Arial" w:hAnsi="Arial" w:cs="Arial"/>
              <w:sz w:val="16"/>
              <w:szCs w:val="16"/>
            </w:rPr>
            <w:t>30.7.2010</w:t>
          </w:r>
        </w:p>
      </w:tc>
    </w:tr>
    <w:tr w:rsidR="0046164A" w:rsidTr="00A8453B">
      <w:trPr>
        <w:cantSplit/>
        <w:trHeight w:val="382"/>
      </w:trPr>
      <w:tc>
        <w:tcPr>
          <w:tcW w:w="1620" w:type="dxa"/>
          <w:vMerge/>
          <w:tcBorders>
            <w:right w:val="single" w:sz="4" w:space="0" w:color="auto"/>
          </w:tcBorders>
        </w:tcPr>
        <w:p w:rsidR="0046164A" w:rsidRDefault="0046164A" w:rsidP="00A8453B">
          <w:pPr>
            <w:pStyle w:val="Header"/>
            <w:spacing w:before="120" w:after="200"/>
            <w:rPr>
              <w:sz w:val="20"/>
            </w:rPr>
          </w:pPr>
        </w:p>
      </w:tc>
      <w:tc>
        <w:tcPr>
          <w:tcW w:w="900" w:type="dxa"/>
          <w:tcBorders>
            <w:top w:val="nil"/>
            <w:left w:val="single" w:sz="4" w:space="0" w:color="auto"/>
            <w:bottom w:val="single" w:sz="12" w:space="0" w:color="auto"/>
          </w:tcBorders>
        </w:tcPr>
        <w:p w:rsidR="0046164A" w:rsidRPr="00766DD4" w:rsidRDefault="0046164A" w:rsidP="00A8453B">
          <w:pPr>
            <w:pStyle w:val="Header"/>
            <w:spacing w:before="120" w:after="200"/>
            <w:rPr>
              <w:rFonts w:ascii="Arial" w:hAnsi="Arial" w:cs="Arial"/>
              <w:sz w:val="16"/>
              <w:szCs w:val="16"/>
            </w:rPr>
          </w:pPr>
          <w:r>
            <w:rPr>
              <w:rFonts w:ascii="Arial" w:hAnsi="Arial" w:cs="Arial"/>
              <w:sz w:val="16"/>
              <w:szCs w:val="16"/>
            </w:rPr>
            <w:t>Doc No.:</w:t>
          </w:r>
        </w:p>
      </w:tc>
      <w:tc>
        <w:tcPr>
          <w:tcW w:w="3060" w:type="dxa"/>
        </w:tcPr>
        <w:p w:rsidR="0046164A" w:rsidRPr="00766DD4" w:rsidRDefault="001D01ED" w:rsidP="00A8453B">
          <w:pPr>
            <w:pStyle w:val="Header"/>
            <w:spacing w:before="120" w:after="200"/>
            <w:rPr>
              <w:rFonts w:ascii="Arial" w:hAnsi="Arial" w:cs="Arial"/>
              <w:sz w:val="16"/>
              <w:szCs w:val="16"/>
            </w:rPr>
          </w:pPr>
          <w:r>
            <w:rPr>
              <w:rFonts w:ascii="Arial" w:hAnsi="Arial" w:cs="Arial"/>
              <w:sz w:val="16"/>
              <w:szCs w:val="16"/>
            </w:rPr>
            <w:t>SHEP 35</w:t>
          </w:r>
        </w:p>
      </w:tc>
      <w:tc>
        <w:tcPr>
          <w:tcW w:w="1800" w:type="dxa"/>
        </w:tcPr>
        <w:p w:rsidR="0046164A" w:rsidRPr="00766DD4" w:rsidRDefault="0046164A" w:rsidP="00A8453B">
          <w:pPr>
            <w:pStyle w:val="Header"/>
            <w:spacing w:before="120" w:after="200"/>
            <w:ind w:right="-108"/>
            <w:rPr>
              <w:rFonts w:ascii="Arial" w:hAnsi="Arial" w:cs="Arial"/>
              <w:sz w:val="16"/>
              <w:szCs w:val="16"/>
            </w:rPr>
          </w:pPr>
          <w:r>
            <w:rPr>
              <w:rFonts w:ascii="Arial" w:hAnsi="Arial" w:cs="Arial"/>
              <w:sz w:val="16"/>
              <w:szCs w:val="16"/>
            </w:rPr>
            <w:t xml:space="preserve">Version: </w:t>
          </w:r>
          <w:r w:rsidR="000C6D09">
            <w:rPr>
              <w:rFonts w:ascii="Arial" w:hAnsi="Arial" w:cs="Arial"/>
              <w:sz w:val="16"/>
              <w:szCs w:val="16"/>
            </w:rPr>
            <w:t>3</w:t>
          </w:r>
        </w:p>
      </w:tc>
      <w:tc>
        <w:tcPr>
          <w:tcW w:w="1980" w:type="dxa"/>
        </w:tcPr>
        <w:p w:rsidR="0046164A" w:rsidRPr="00766DD4" w:rsidRDefault="0046164A" w:rsidP="00FD1510">
          <w:pPr>
            <w:pStyle w:val="Header"/>
            <w:spacing w:before="120" w:after="200"/>
            <w:rPr>
              <w:rFonts w:ascii="Arial" w:hAnsi="Arial" w:cs="Arial"/>
              <w:sz w:val="16"/>
              <w:szCs w:val="16"/>
            </w:rPr>
          </w:pPr>
          <w:r>
            <w:rPr>
              <w:rFonts w:ascii="Arial" w:hAnsi="Arial" w:cs="Arial"/>
              <w:sz w:val="16"/>
              <w:szCs w:val="16"/>
            </w:rPr>
            <w:t xml:space="preserve">Review </w:t>
          </w:r>
          <w:r w:rsidRPr="00766DD4">
            <w:rPr>
              <w:rFonts w:ascii="Arial" w:hAnsi="Arial" w:cs="Arial"/>
              <w:sz w:val="16"/>
              <w:szCs w:val="16"/>
            </w:rPr>
            <w:t xml:space="preserve">Date: </w:t>
          </w:r>
          <w:r w:rsidR="00FA7C0B">
            <w:rPr>
              <w:rFonts w:ascii="Arial" w:hAnsi="Arial" w:cs="Arial"/>
              <w:sz w:val="16"/>
              <w:szCs w:val="16"/>
            </w:rPr>
            <w:t xml:space="preserve"> </w:t>
          </w:r>
          <w:r w:rsidR="00C21B59">
            <w:rPr>
              <w:rFonts w:ascii="Arial" w:hAnsi="Arial" w:cs="Arial"/>
              <w:sz w:val="16"/>
              <w:szCs w:val="16"/>
            </w:rPr>
            <w:t>201</w:t>
          </w:r>
          <w:r w:rsidR="00FD1510">
            <w:rPr>
              <w:rFonts w:ascii="Arial" w:hAnsi="Arial" w:cs="Arial"/>
              <w:sz w:val="16"/>
              <w:szCs w:val="16"/>
            </w:rPr>
            <w:t>9</w:t>
          </w:r>
        </w:p>
      </w:tc>
    </w:tr>
  </w:tbl>
  <w:p w:rsidR="00070CA6" w:rsidRDefault="00070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2A27"/>
    <w:multiLevelType w:val="hybridMultilevel"/>
    <w:tmpl w:val="7A7E99C2"/>
    <w:lvl w:ilvl="0" w:tplc="2182E4BE">
      <w:start w:val="1"/>
      <w:numFmt w:val="bullet"/>
      <w:lvlText w:val=""/>
      <w:lvlJc w:val="left"/>
      <w:pPr>
        <w:tabs>
          <w:tab w:val="num" w:pos="1476"/>
        </w:tabs>
        <w:ind w:left="1476" w:hanging="360"/>
      </w:pPr>
      <w:rPr>
        <w:rFonts w:ascii="Symbol" w:hAnsi="Symbol" w:hint="default"/>
        <w:sz w:val="16"/>
      </w:rPr>
    </w:lvl>
    <w:lvl w:ilvl="1" w:tplc="04090003" w:tentative="1">
      <w:start w:val="1"/>
      <w:numFmt w:val="bullet"/>
      <w:lvlText w:val="o"/>
      <w:lvlJc w:val="left"/>
      <w:pPr>
        <w:tabs>
          <w:tab w:val="num" w:pos="2556"/>
        </w:tabs>
        <w:ind w:left="2556" w:hanging="360"/>
      </w:pPr>
      <w:rPr>
        <w:rFonts w:ascii="Courier New" w:hAnsi="Courier New" w:hint="default"/>
      </w:rPr>
    </w:lvl>
    <w:lvl w:ilvl="2" w:tplc="04090005" w:tentative="1">
      <w:start w:val="1"/>
      <w:numFmt w:val="bullet"/>
      <w:lvlText w:val=""/>
      <w:lvlJc w:val="left"/>
      <w:pPr>
        <w:tabs>
          <w:tab w:val="num" w:pos="3276"/>
        </w:tabs>
        <w:ind w:left="3276" w:hanging="360"/>
      </w:pPr>
      <w:rPr>
        <w:rFonts w:ascii="Wingdings" w:hAnsi="Wingdings" w:hint="default"/>
      </w:rPr>
    </w:lvl>
    <w:lvl w:ilvl="3" w:tplc="04090001" w:tentative="1">
      <w:start w:val="1"/>
      <w:numFmt w:val="bullet"/>
      <w:lvlText w:val=""/>
      <w:lvlJc w:val="left"/>
      <w:pPr>
        <w:tabs>
          <w:tab w:val="num" w:pos="3996"/>
        </w:tabs>
        <w:ind w:left="3996" w:hanging="360"/>
      </w:pPr>
      <w:rPr>
        <w:rFonts w:ascii="Symbol" w:hAnsi="Symbol" w:hint="default"/>
      </w:rPr>
    </w:lvl>
    <w:lvl w:ilvl="4" w:tplc="04090003" w:tentative="1">
      <w:start w:val="1"/>
      <w:numFmt w:val="bullet"/>
      <w:lvlText w:val="o"/>
      <w:lvlJc w:val="left"/>
      <w:pPr>
        <w:tabs>
          <w:tab w:val="num" w:pos="4716"/>
        </w:tabs>
        <w:ind w:left="4716" w:hanging="360"/>
      </w:pPr>
      <w:rPr>
        <w:rFonts w:ascii="Courier New" w:hAnsi="Courier New" w:hint="default"/>
      </w:rPr>
    </w:lvl>
    <w:lvl w:ilvl="5" w:tplc="04090005" w:tentative="1">
      <w:start w:val="1"/>
      <w:numFmt w:val="bullet"/>
      <w:lvlText w:val=""/>
      <w:lvlJc w:val="left"/>
      <w:pPr>
        <w:tabs>
          <w:tab w:val="num" w:pos="5436"/>
        </w:tabs>
        <w:ind w:left="5436" w:hanging="360"/>
      </w:pPr>
      <w:rPr>
        <w:rFonts w:ascii="Wingdings" w:hAnsi="Wingdings" w:hint="default"/>
      </w:rPr>
    </w:lvl>
    <w:lvl w:ilvl="6" w:tplc="04090001" w:tentative="1">
      <w:start w:val="1"/>
      <w:numFmt w:val="bullet"/>
      <w:lvlText w:val=""/>
      <w:lvlJc w:val="left"/>
      <w:pPr>
        <w:tabs>
          <w:tab w:val="num" w:pos="6156"/>
        </w:tabs>
        <w:ind w:left="6156" w:hanging="360"/>
      </w:pPr>
      <w:rPr>
        <w:rFonts w:ascii="Symbol" w:hAnsi="Symbol" w:hint="default"/>
      </w:rPr>
    </w:lvl>
    <w:lvl w:ilvl="7" w:tplc="04090003" w:tentative="1">
      <w:start w:val="1"/>
      <w:numFmt w:val="bullet"/>
      <w:lvlText w:val="o"/>
      <w:lvlJc w:val="left"/>
      <w:pPr>
        <w:tabs>
          <w:tab w:val="num" w:pos="6876"/>
        </w:tabs>
        <w:ind w:left="6876" w:hanging="360"/>
      </w:pPr>
      <w:rPr>
        <w:rFonts w:ascii="Courier New" w:hAnsi="Courier New" w:hint="default"/>
      </w:rPr>
    </w:lvl>
    <w:lvl w:ilvl="8" w:tplc="04090005" w:tentative="1">
      <w:start w:val="1"/>
      <w:numFmt w:val="bullet"/>
      <w:lvlText w:val=""/>
      <w:lvlJc w:val="left"/>
      <w:pPr>
        <w:tabs>
          <w:tab w:val="num" w:pos="7596"/>
        </w:tabs>
        <w:ind w:left="7596" w:hanging="360"/>
      </w:pPr>
      <w:rPr>
        <w:rFonts w:ascii="Wingdings" w:hAnsi="Wingdings" w:hint="default"/>
      </w:rPr>
    </w:lvl>
  </w:abstractNum>
  <w:abstractNum w:abstractNumId="1" w15:restartNumberingAfterBreak="0">
    <w:nsid w:val="0EBE3E5C"/>
    <w:multiLevelType w:val="hybridMultilevel"/>
    <w:tmpl w:val="9EC09B60"/>
    <w:lvl w:ilvl="0" w:tplc="7616CC54">
      <w:start w:val="2"/>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12881911"/>
    <w:multiLevelType w:val="hybridMultilevel"/>
    <w:tmpl w:val="99803452"/>
    <w:lvl w:ilvl="0" w:tplc="7616CC54">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360F1A1E"/>
    <w:multiLevelType w:val="hybridMultilevel"/>
    <w:tmpl w:val="63D8C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003462"/>
    <w:multiLevelType w:val="hybridMultilevel"/>
    <w:tmpl w:val="AC3039A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E1413A"/>
    <w:multiLevelType w:val="hybridMultilevel"/>
    <w:tmpl w:val="B2E8F2F6"/>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C46855"/>
    <w:multiLevelType w:val="hybridMultilevel"/>
    <w:tmpl w:val="C77A1674"/>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F91177"/>
    <w:multiLevelType w:val="hybridMultilevel"/>
    <w:tmpl w:val="8E70EBBE"/>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27BF5"/>
    <w:multiLevelType w:val="hybridMultilevel"/>
    <w:tmpl w:val="7F9CEB12"/>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4D3450"/>
    <w:multiLevelType w:val="hybridMultilevel"/>
    <w:tmpl w:val="4D8C4C40"/>
    <w:lvl w:ilvl="0" w:tplc="2182E4BE">
      <w:start w:val="1"/>
      <w:numFmt w:val="bullet"/>
      <w:lvlText w:val=""/>
      <w:lvlJc w:val="left"/>
      <w:pPr>
        <w:tabs>
          <w:tab w:val="num" w:pos="1836"/>
        </w:tabs>
        <w:ind w:left="1836" w:hanging="360"/>
      </w:pPr>
      <w:rPr>
        <w:rFonts w:ascii="Symbol" w:hAnsi="Symbol" w:hint="default"/>
        <w:sz w:val="16"/>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BC0380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6"/>
  </w:num>
  <w:num w:numId="3">
    <w:abstractNumId w:val="5"/>
  </w:num>
  <w:num w:numId="4">
    <w:abstractNumId w:val="9"/>
  </w:num>
  <w:num w:numId="5">
    <w:abstractNumId w:val="8"/>
  </w:num>
  <w:num w:numId="6">
    <w:abstractNumId w:val="7"/>
  </w:num>
  <w:num w:numId="7">
    <w:abstractNumId w:val="10"/>
  </w:num>
  <w:num w:numId="8">
    <w:abstractNumId w:val="3"/>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CA"/>
    <w:rsid w:val="00014785"/>
    <w:rsid w:val="0002497F"/>
    <w:rsid w:val="000442BB"/>
    <w:rsid w:val="00066259"/>
    <w:rsid w:val="00070CA6"/>
    <w:rsid w:val="00086EB9"/>
    <w:rsid w:val="00096BED"/>
    <w:rsid w:val="000A74B9"/>
    <w:rsid w:val="000C6D09"/>
    <w:rsid w:val="00111AAD"/>
    <w:rsid w:val="0012356D"/>
    <w:rsid w:val="001372A4"/>
    <w:rsid w:val="0014682D"/>
    <w:rsid w:val="00185E2D"/>
    <w:rsid w:val="001927F9"/>
    <w:rsid w:val="00195C7A"/>
    <w:rsid w:val="001D01ED"/>
    <w:rsid w:val="001E05FE"/>
    <w:rsid w:val="00232691"/>
    <w:rsid w:val="00233255"/>
    <w:rsid w:val="00236211"/>
    <w:rsid w:val="00273EF8"/>
    <w:rsid w:val="002F0140"/>
    <w:rsid w:val="00363382"/>
    <w:rsid w:val="0038660A"/>
    <w:rsid w:val="003B4F51"/>
    <w:rsid w:val="003C22B4"/>
    <w:rsid w:val="003E6033"/>
    <w:rsid w:val="003F2182"/>
    <w:rsid w:val="003F481C"/>
    <w:rsid w:val="00410619"/>
    <w:rsid w:val="004213E9"/>
    <w:rsid w:val="00431545"/>
    <w:rsid w:val="0046164A"/>
    <w:rsid w:val="00462170"/>
    <w:rsid w:val="00464E03"/>
    <w:rsid w:val="004770AF"/>
    <w:rsid w:val="00491C94"/>
    <w:rsid w:val="00496422"/>
    <w:rsid w:val="004A226D"/>
    <w:rsid w:val="004B1680"/>
    <w:rsid w:val="004F6E84"/>
    <w:rsid w:val="00517768"/>
    <w:rsid w:val="00534476"/>
    <w:rsid w:val="005475B3"/>
    <w:rsid w:val="00553FC8"/>
    <w:rsid w:val="005664CB"/>
    <w:rsid w:val="005D70E9"/>
    <w:rsid w:val="005E2FD3"/>
    <w:rsid w:val="005F1FAB"/>
    <w:rsid w:val="006074CA"/>
    <w:rsid w:val="00626791"/>
    <w:rsid w:val="00656F01"/>
    <w:rsid w:val="0065703A"/>
    <w:rsid w:val="00661BD5"/>
    <w:rsid w:val="00680FFE"/>
    <w:rsid w:val="00696EC6"/>
    <w:rsid w:val="006C3ACD"/>
    <w:rsid w:val="006E13CD"/>
    <w:rsid w:val="006F2192"/>
    <w:rsid w:val="0071532E"/>
    <w:rsid w:val="00721E72"/>
    <w:rsid w:val="007952EF"/>
    <w:rsid w:val="007F00A2"/>
    <w:rsid w:val="007F4AA8"/>
    <w:rsid w:val="008153F1"/>
    <w:rsid w:val="00846385"/>
    <w:rsid w:val="00872BA9"/>
    <w:rsid w:val="008D2ABC"/>
    <w:rsid w:val="008F55B9"/>
    <w:rsid w:val="009251A3"/>
    <w:rsid w:val="00937F68"/>
    <w:rsid w:val="00962438"/>
    <w:rsid w:val="00987D51"/>
    <w:rsid w:val="009B22D3"/>
    <w:rsid w:val="009C10B3"/>
    <w:rsid w:val="009E7FE1"/>
    <w:rsid w:val="00A22755"/>
    <w:rsid w:val="00A22FCA"/>
    <w:rsid w:val="00A3345A"/>
    <w:rsid w:val="00A452A0"/>
    <w:rsid w:val="00A63615"/>
    <w:rsid w:val="00A8453B"/>
    <w:rsid w:val="00A86F33"/>
    <w:rsid w:val="00A952EA"/>
    <w:rsid w:val="00A96E58"/>
    <w:rsid w:val="00AB3A98"/>
    <w:rsid w:val="00AD7F5B"/>
    <w:rsid w:val="00AE3A8B"/>
    <w:rsid w:val="00B01890"/>
    <w:rsid w:val="00B03E49"/>
    <w:rsid w:val="00B04D80"/>
    <w:rsid w:val="00B441EB"/>
    <w:rsid w:val="00B86C09"/>
    <w:rsid w:val="00B93E98"/>
    <w:rsid w:val="00BA5123"/>
    <w:rsid w:val="00BB3AE0"/>
    <w:rsid w:val="00BC701E"/>
    <w:rsid w:val="00C118B3"/>
    <w:rsid w:val="00C21B59"/>
    <w:rsid w:val="00C37AF0"/>
    <w:rsid w:val="00C40B7C"/>
    <w:rsid w:val="00C5028E"/>
    <w:rsid w:val="00C80A1E"/>
    <w:rsid w:val="00C908F5"/>
    <w:rsid w:val="00C96DF5"/>
    <w:rsid w:val="00CC367D"/>
    <w:rsid w:val="00CC5F0C"/>
    <w:rsid w:val="00CE2AA0"/>
    <w:rsid w:val="00CE6DC8"/>
    <w:rsid w:val="00D02AF2"/>
    <w:rsid w:val="00D035DA"/>
    <w:rsid w:val="00D311A0"/>
    <w:rsid w:val="00D969E3"/>
    <w:rsid w:val="00DD7CCD"/>
    <w:rsid w:val="00DF4345"/>
    <w:rsid w:val="00E07E2F"/>
    <w:rsid w:val="00E124F8"/>
    <w:rsid w:val="00E332EC"/>
    <w:rsid w:val="00E33DE0"/>
    <w:rsid w:val="00E37C42"/>
    <w:rsid w:val="00E43388"/>
    <w:rsid w:val="00E44D63"/>
    <w:rsid w:val="00E761D5"/>
    <w:rsid w:val="00E909C3"/>
    <w:rsid w:val="00EB3924"/>
    <w:rsid w:val="00EB6F8A"/>
    <w:rsid w:val="00F128D6"/>
    <w:rsid w:val="00F15E20"/>
    <w:rsid w:val="00F20E0F"/>
    <w:rsid w:val="00F26098"/>
    <w:rsid w:val="00F36036"/>
    <w:rsid w:val="00F5004B"/>
    <w:rsid w:val="00F61351"/>
    <w:rsid w:val="00F74D99"/>
    <w:rsid w:val="00F83067"/>
    <w:rsid w:val="00F8318F"/>
    <w:rsid w:val="00F93E54"/>
    <w:rsid w:val="00F96095"/>
    <w:rsid w:val="00FA7C0B"/>
    <w:rsid w:val="00FB07A2"/>
    <w:rsid w:val="00FB1D32"/>
    <w:rsid w:val="00FC5E49"/>
    <w:rsid w:val="00FD0696"/>
    <w:rsid w:val="00FD1510"/>
    <w:rsid w:val="00FD1E1E"/>
    <w:rsid w:val="00FD5224"/>
    <w:rsid w:val="00FE5E48"/>
    <w:rsid w:val="00FF3729"/>
    <w:rsid w:val="00FF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5:chartTrackingRefBased/>
  <w15:docId w15:val="{F5172A94-5286-431B-8EFE-3A43CEFE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AA8"/>
    <w:pPr>
      <w:tabs>
        <w:tab w:val="left" w:pos="936"/>
        <w:tab w:val="left" w:pos="1368"/>
      </w:tabs>
    </w:pPr>
    <w:rPr>
      <w:sz w:val="24"/>
      <w:lang w:eastAsia="en-US"/>
    </w:rPr>
  </w:style>
  <w:style w:type="paragraph" w:styleId="Heading1">
    <w:name w:val="heading 1"/>
    <w:basedOn w:val="Normal"/>
    <w:next w:val="Normal"/>
    <w:qFormat/>
    <w:rsid w:val="00A22FCA"/>
    <w:pPr>
      <w:keepNext/>
      <w:spacing w:before="240" w:after="60"/>
      <w:outlineLvl w:val="0"/>
    </w:pPr>
    <w:rPr>
      <w:b/>
      <w:kern w:val="28"/>
      <w:sz w:val="36"/>
    </w:rPr>
  </w:style>
  <w:style w:type="paragraph" w:styleId="Heading3">
    <w:name w:val="heading 3"/>
    <w:basedOn w:val="Normal"/>
    <w:next w:val="Normal"/>
    <w:qFormat/>
    <w:rsid w:val="00A22FCA"/>
    <w:pPr>
      <w:keepNext/>
      <w:spacing w:before="240" w:after="60"/>
      <w:outlineLvl w:val="2"/>
    </w:pPr>
    <w:rPr>
      <w:b/>
      <w:sz w:val="28"/>
    </w:rPr>
  </w:style>
  <w:style w:type="paragraph" w:styleId="Heading4">
    <w:name w:val="heading 4"/>
    <w:basedOn w:val="Normal"/>
    <w:next w:val="Normal"/>
    <w:qFormat/>
    <w:rsid w:val="00A22FCA"/>
    <w:pPr>
      <w:keepNext/>
      <w:spacing w:before="240" w:after="60"/>
      <w:outlineLvl w:val="3"/>
    </w:pPr>
    <w:rPr>
      <w:b/>
    </w:rPr>
  </w:style>
  <w:style w:type="paragraph" w:styleId="Heading5">
    <w:name w:val="heading 5"/>
    <w:basedOn w:val="Normal"/>
    <w:next w:val="Normal"/>
    <w:qFormat/>
    <w:rsid w:val="00A22FCA"/>
    <w:pPr>
      <w:spacing w:before="240" w:after="60"/>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22FCA"/>
  </w:style>
  <w:style w:type="paragraph" w:styleId="Footer">
    <w:name w:val="footer"/>
    <w:basedOn w:val="Normal"/>
    <w:rsid w:val="00A22FCA"/>
    <w:pPr>
      <w:tabs>
        <w:tab w:val="center" w:pos="4153"/>
        <w:tab w:val="right" w:pos="8306"/>
      </w:tabs>
    </w:pPr>
    <w:rPr>
      <w:sz w:val="16"/>
    </w:rPr>
  </w:style>
  <w:style w:type="paragraph" w:styleId="Header">
    <w:name w:val="header"/>
    <w:basedOn w:val="Normal"/>
    <w:rsid w:val="00A22FCA"/>
    <w:pPr>
      <w:tabs>
        <w:tab w:val="center" w:pos="4153"/>
        <w:tab w:val="right" w:pos="8306"/>
      </w:tabs>
    </w:pPr>
  </w:style>
  <w:style w:type="character" w:styleId="Hyperlink">
    <w:name w:val="Hyperlink"/>
    <w:rsid w:val="008153F1"/>
    <w:rPr>
      <w:color w:val="0000FF"/>
      <w:u w:val="single"/>
    </w:rPr>
  </w:style>
  <w:style w:type="character" w:styleId="FollowedHyperlink">
    <w:name w:val="FollowedHyperlink"/>
    <w:rsid w:val="008153F1"/>
    <w:rPr>
      <w:color w:val="800080"/>
      <w:u w:val="single"/>
    </w:rPr>
  </w:style>
  <w:style w:type="paragraph" w:styleId="DocumentMap">
    <w:name w:val="Document Map"/>
    <w:basedOn w:val="Normal"/>
    <w:semiHidden/>
    <w:rsid w:val="00236211"/>
    <w:pPr>
      <w:shd w:val="clear" w:color="auto" w:fill="000080"/>
    </w:pPr>
    <w:rPr>
      <w:rFonts w:ascii="Tahoma" w:hAnsi="Tahoma" w:cs="Tahoma"/>
      <w:sz w:val="20"/>
    </w:rPr>
  </w:style>
  <w:style w:type="paragraph" w:styleId="Caption">
    <w:name w:val="caption"/>
    <w:basedOn w:val="Normal"/>
    <w:next w:val="Normal"/>
    <w:qFormat/>
    <w:rsid w:val="00FA7C0B"/>
    <w:pPr>
      <w:tabs>
        <w:tab w:val="clear" w:pos="936"/>
        <w:tab w:val="clear" w:pos="1368"/>
      </w:tabs>
      <w:ind w:left="-450"/>
    </w:pPr>
    <w:rPr>
      <w:b/>
      <w:sz w:val="20"/>
    </w:rPr>
  </w:style>
  <w:style w:type="table" w:styleId="TableGrid">
    <w:name w:val="Table Grid"/>
    <w:basedOn w:val="TableNormal"/>
    <w:rsid w:val="00FA7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1331</Words>
  <Characters>6577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ESTATES &amp; FACILITIES DEPARTMENT</vt:lpstr>
    </vt:vector>
  </TitlesOfParts>
  <Company>SGUL</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procedure-for-disposal-of-radioactive-waste-shep-35</dc:title>
  <dc:subject>
  </dc:subject>
  <dc:creator>rairey</dc:creator>
  <cp:keywords>
  </cp:keywords>
  <cp:lastModifiedBy>Sebastian</cp:lastModifiedBy>
  <cp:revision>2</cp:revision>
  <cp:lastPrinted>2009-03-26T16:36:00Z</cp:lastPrinted>
  <dcterms:created xsi:type="dcterms:W3CDTF">2019-07-05T15:33:00Z</dcterms:created>
  <dcterms:modified xsi:type="dcterms:W3CDTF">2020-01-09T13:03:23Z</dcterms:modified>
</cp:coreProperties>
</file>