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8E7" w:rsidP="00C34540" w:rsidRDefault="00DC68E7" w14:paraId="0DF0877A" w14:textId="792CD95F"/>
    <w:p w:rsidR="00C34540" w:rsidP="00C34540" w:rsidRDefault="00C34540" w14:paraId="410FD0DF" w14:textId="16CCDDD8"/>
    <w:p w:rsidRPr="0039391F" w:rsidR="00637920" w:rsidP="00637920" w:rsidRDefault="00637920" w14:paraId="2EC0C30A" w14:textId="77777777">
      <w:pPr>
        <w:pStyle w:val="Heading1"/>
        <w:rPr>
          <w:b w:val="0"/>
        </w:rPr>
      </w:pPr>
      <w:r w:rsidRPr="0039391F">
        <w:t>Freedom of Speech and Academic Freedom</w:t>
      </w:r>
    </w:p>
    <w:p w:rsidR="00637920" w:rsidP="00637920" w:rsidRDefault="00637920" w14:paraId="22AE11C8" w14:textId="77777777"/>
    <w:p w:rsidRPr="0039391F" w:rsidR="00637920" w:rsidP="00637920" w:rsidRDefault="00637920" w14:paraId="34073412" w14:textId="00E66B46">
      <w:r w:rsidRPr="0039391F">
        <w:t xml:space="preserve">The </w:t>
      </w:r>
      <w:r w:rsidRPr="0039391F">
        <w:rPr>
          <w:b/>
          <w:bCs/>
        </w:rPr>
        <w:t>Code of Practice on Freedom of Speech and Academic Freedom</w:t>
      </w:r>
      <w:r w:rsidRPr="0039391F">
        <w:t xml:space="preserve"> sets out how we meet our legal duties under the </w:t>
      </w:r>
      <w:r w:rsidRPr="0039391F">
        <w:rPr>
          <w:b/>
          <w:bCs/>
        </w:rPr>
        <w:t>Higher Education (Freedom of Speech) Act 2023</w:t>
      </w:r>
      <w:r w:rsidRPr="0039391F">
        <w:t>.</w:t>
      </w:r>
      <w:r w:rsidRPr="0039391F">
        <w:br/>
      </w:r>
      <w:r w:rsidRPr="0039391F">
        <w:br/>
        <w:t>It explains the rights and responsibilities of staff, students, and visitors, and outlines how we will manage events and external speakers.</w:t>
      </w:r>
    </w:p>
    <w:p w:rsidRPr="0039391F" w:rsidR="00637920" w:rsidP="00637920" w:rsidRDefault="00637920" w14:paraId="13655D6D" w14:textId="77777777">
      <w:hyperlink w:history="1" r:id="rId7">
        <w:r w:rsidRPr="00CF45E8">
          <w:rPr>
            <w:rStyle w:val="Hyperlink"/>
            <w:b/>
            <w:bCs/>
          </w:rPr>
          <w:t>Read the full Code</w:t>
        </w:r>
      </w:hyperlink>
    </w:p>
    <w:p w:rsidRPr="0039391F" w:rsidR="00637920" w:rsidP="00637920" w:rsidRDefault="00637920" w14:paraId="32BDCBA1" w14:textId="77777777">
      <w:pPr>
        <w:pStyle w:val="Heading2"/>
      </w:pPr>
      <w:r w:rsidRPr="0039391F">
        <w:t>Our Commitments</w:t>
      </w:r>
    </w:p>
    <w:p w:rsidRPr="0039391F" w:rsidR="00637920" w:rsidP="00637920" w:rsidRDefault="00637920" w14:paraId="3639BFB2" w14:textId="77777777">
      <w:r w:rsidRPr="0039391F">
        <w:t>City St George’s has always been committed to upholding freedom of speech, expression, and debate which are essential foundations of academic life. These new requirements reaffirm that everyone, whether staff, student, or visitor, has the right to express lawful views, even when others may strongly disagree.</w:t>
      </w:r>
    </w:p>
    <w:p w:rsidRPr="0039391F" w:rsidR="00637920" w:rsidP="00637920" w:rsidRDefault="00637920" w14:paraId="607BF231" w14:textId="77777777">
      <w:r w:rsidRPr="0039391F">
        <w:t>We recognise that many issues being discussed on campus — including those relating to events around the world — evoke deep feelings and differing perspectives. It is vital that we continue to engage in these discussions with respect, empathy, and care for one another.</w:t>
      </w:r>
    </w:p>
    <w:p w:rsidRPr="0039391F" w:rsidR="00637920" w:rsidP="00637920" w:rsidRDefault="00637920" w14:paraId="0E073C89" w14:textId="77777777">
      <w:r w:rsidRPr="0039391F">
        <w:t>Our Code of Conduct makes clear that:</w:t>
      </w:r>
    </w:p>
    <w:p w:rsidRPr="0039391F" w:rsidR="00637920" w:rsidP="00637920" w:rsidRDefault="00637920" w14:paraId="46AA1B7A" w14:textId="77777777">
      <w:pPr>
        <w:numPr>
          <w:ilvl w:val="0"/>
          <w:numId w:val="9"/>
        </w:numPr>
        <w:spacing w:after="160"/>
      </w:pPr>
      <w:r w:rsidRPr="0039391F">
        <w:t>Freedom of speech within the law is protected for all.</w:t>
      </w:r>
    </w:p>
    <w:p w:rsidRPr="0039391F" w:rsidR="00637920" w:rsidP="00637920" w:rsidRDefault="00637920" w14:paraId="06ECEAA5" w14:textId="77777777">
      <w:pPr>
        <w:numPr>
          <w:ilvl w:val="0"/>
          <w:numId w:val="9"/>
        </w:numPr>
        <w:spacing w:after="160"/>
      </w:pPr>
      <w:r w:rsidRPr="0039391F">
        <w:t>Staff and students have the right to question, test, and discuss ideas and research, within the law, without fear of censorship or retaliation, enabling them to teach, learn, and research freely.</w:t>
      </w:r>
    </w:p>
    <w:p w:rsidRPr="0039391F" w:rsidR="00637920" w:rsidP="00637920" w:rsidRDefault="00637920" w14:paraId="49F26ED1" w14:textId="77777777">
      <w:pPr>
        <w:numPr>
          <w:ilvl w:val="0"/>
          <w:numId w:val="9"/>
        </w:numPr>
        <w:spacing w:after="160"/>
      </w:pPr>
      <w:r w:rsidRPr="0039391F">
        <w:t>Behaviour that crosses the line into harassment, intimidation, or incitement of hatred is not tolerated.</w:t>
      </w:r>
    </w:p>
    <w:p w:rsidRPr="0039391F" w:rsidR="00637920" w:rsidP="00637920" w:rsidRDefault="00637920" w14:paraId="74922E93" w14:textId="77777777">
      <w:pPr>
        <w:numPr>
          <w:ilvl w:val="0"/>
          <w:numId w:val="9"/>
        </w:numPr>
        <w:spacing w:after="160"/>
      </w:pPr>
      <w:r w:rsidRPr="0039391F">
        <w:t>Everyone shares responsibility for contributing to a safe, inclusive, and intellectually open environment.</w:t>
      </w:r>
    </w:p>
    <w:p w:rsidRPr="0039391F" w:rsidR="00637920" w:rsidP="00637920" w:rsidRDefault="00637920" w14:paraId="2711B7C3" w14:textId="77777777">
      <w:pPr>
        <w:numPr>
          <w:ilvl w:val="0"/>
          <w:numId w:val="9"/>
        </w:numPr>
        <w:spacing w:after="160"/>
      </w:pPr>
      <w:r w:rsidRPr="0039391F">
        <w:t>All staff, students, and members of the University are expected to comply with the code.</w:t>
      </w:r>
    </w:p>
    <w:p w:rsidR="00637920" w:rsidP="00637920" w:rsidRDefault="00637920" w14:paraId="6DC37F24" w14:textId="77777777">
      <w:pPr>
        <w:rPr>
          <w:b/>
        </w:rPr>
      </w:pPr>
    </w:p>
    <w:p w:rsidRPr="0039391F" w:rsidR="00637920" w:rsidP="00637920" w:rsidRDefault="00637920" w14:paraId="7FF176F8" w14:textId="77777777">
      <w:pPr>
        <w:pStyle w:val="Heading2"/>
      </w:pPr>
      <w:r w:rsidRPr="0039391F">
        <w:t>Guidance Note for Event Organisers: Inviting a Visiting Speaker</w:t>
      </w:r>
    </w:p>
    <w:p w:rsidRPr="0039391F" w:rsidR="00637920" w:rsidP="00637920" w:rsidRDefault="00637920" w14:paraId="6D6E01B3" w14:textId="77777777">
      <w:pPr>
        <w:pStyle w:val="Heading3"/>
      </w:pPr>
      <w:r w:rsidRPr="0039391F">
        <w:t>Purpose</w:t>
      </w:r>
    </w:p>
    <w:p w:rsidRPr="0039391F" w:rsidR="00637920" w:rsidP="00637920" w:rsidRDefault="00637920" w14:paraId="304428BD" w14:textId="77777777">
      <w:r w:rsidRPr="0039391F">
        <w:t xml:space="preserve">This guidance explains the steps that any member of staff, student, society, or affiliated group must follow when planning an event that includes a </w:t>
      </w:r>
      <w:r w:rsidRPr="0039391F">
        <w:rPr>
          <w:b/>
          <w:bCs/>
        </w:rPr>
        <w:t>Visiting Speaker</w:t>
      </w:r>
      <w:r w:rsidRPr="0039391F">
        <w:t>, whether on campus, online, or in an external venue associated with the University or Students’ Union.</w:t>
      </w:r>
    </w:p>
    <w:p w:rsidRPr="0039391F" w:rsidR="00637920" w:rsidP="00637920" w:rsidRDefault="00637920" w14:paraId="41DBA61D" w14:textId="77777777">
      <w:r w:rsidRPr="0039391F">
        <w:t>It is designed to:</w:t>
      </w:r>
    </w:p>
    <w:p w:rsidRPr="0039391F" w:rsidR="00637920" w:rsidP="00637920" w:rsidRDefault="00637920" w14:paraId="22807D01" w14:textId="77777777">
      <w:pPr>
        <w:numPr>
          <w:ilvl w:val="0"/>
          <w:numId w:val="2"/>
        </w:numPr>
        <w:spacing w:after="160"/>
      </w:pPr>
      <w:r w:rsidRPr="0039391F">
        <w:t xml:space="preserve">Protect </w:t>
      </w:r>
      <w:r w:rsidRPr="0039391F">
        <w:rPr>
          <w:b/>
          <w:bCs/>
        </w:rPr>
        <w:t>freedom of speech within the law</w:t>
      </w:r>
      <w:r w:rsidRPr="0039391F">
        <w:t>, and</w:t>
      </w:r>
    </w:p>
    <w:p w:rsidRPr="0039391F" w:rsidR="00637920" w:rsidP="00637920" w:rsidRDefault="00637920" w14:paraId="36485A5E" w14:textId="77777777">
      <w:pPr>
        <w:numPr>
          <w:ilvl w:val="0"/>
          <w:numId w:val="2"/>
        </w:numPr>
        <w:spacing w:after="160"/>
      </w:pPr>
      <w:r w:rsidRPr="0039391F">
        <w:t>Ensure all events are run safely, lawfully, and respectfully.</w:t>
      </w:r>
    </w:p>
    <w:p w:rsidRPr="0039391F" w:rsidR="00637920" w:rsidP="00637920" w:rsidRDefault="00637920" w14:paraId="10BF9B2C" w14:textId="77777777">
      <w:pPr>
        <w:rPr>
          <w:b/>
        </w:rPr>
      </w:pPr>
      <w:r w:rsidRPr="0039391F">
        <w:rPr>
          <w:b/>
        </w:rPr>
        <w:t>1. When this procedure applies</w:t>
      </w:r>
    </w:p>
    <w:p w:rsidRPr="0039391F" w:rsidR="00637920" w:rsidP="00637920" w:rsidRDefault="00637920" w14:paraId="21B0A45A" w14:textId="77777777">
      <w:r w:rsidRPr="0039391F">
        <w:t>You must follow this process if:</w:t>
      </w:r>
    </w:p>
    <w:p w:rsidRPr="0039391F" w:rsidR="00637920" w:rsidP="00637920" w:rsidRDefault="00637920" w14:paraId="109DE179" w14:textId="77777777">
      <w:pPr>
        <w:numPr>
          <w:ilvl w:val="0"/>
          <w:numId w:val="8"/>
        </w:numPr>
        <w:spacing w:after="160"/>
      </w:pPr>
      <w:r w:rsidRPr="0039391F">
        <w:t xml:space="preserve">You are </w:t>
      </w:r>
      <w:proofErr w:type="gramStart"/>
      <w:r w:rsidRPr="0039391F">
        <w:t>intend</w:t>
      </w:r>
      <w:proofErr w:type="gramEnd"/>
      <w:r w:rsidRPr="0039391F">
        <w:t xml:space="preserve"> to invite </w:t>
      </w:r>
      <w:r w:rsidRPr="0039391F">
        <w:rPr>
          <w:b/>
          <w:bCs/>
        </w:rPr>
        <w:t>any external speaker</w:t>
      </w:r>
      <w:r w:rsidRPr="0039391F">
        <w:t xml:space="preserve"> (not a current student or staff member).</w:t>
      </w:r>
    </w:p>
    <w:p w:rsidRPr="0039391F" w:rsidR="00637920" w:rsidP="00637920" w:rsidRDefault="00637920" w14:paraId="13DF8B18" w14:textId="77777777">
      <w:pPr>
        <w:numPr>
          <w:ilvl w:val="0"/>
          <w:numId w:val="8"/>
        </w:numPr>
        <w:spacing w:after="160"/>
      </w:pPr>
      <w:r w:rsidRPr="0039391F">
        <w:t xml:space="preserve">The event is held </w:t>
      </w:r>
      <w:r w:rsidRPr="0039391F">
        <w:rPr>
          <w:b/>
          <w:bCs/>
        </w:rPr>
        <w:t>at the University, the Students’ Union, Bayes</w:t>
      </w:r>
      <w:r w:rsidRPr="0039391F">
        <w:t xml:space="preserve">, or </w:t>
      </w:r>
      <w:r w:rsidRPr="0039391F">
        <w:rPr>
          <w:b/>
          <w:bCs/>
        </w:rPr>
        <w:t>in the University’s name</w:t>
      </w:r>
      <w:r w:rsidRPr="0039391F">
        <w:t>.</w:t>
      </w:r>
    </w:p>
    <w:p w:rsidRPr="0039391F" w:rsidR="00637920" w:rsidP="00637920" w:rsidRDefault="00637920" w14:paraId="01E7CAAD" w14:textId="77777777">
      <w:pPr>
        <w:numPr>
          <w:ilvl w:val="0"/>
          <w:numId w:val="8"/>
        </w:numPr>
        <w:spacing w:after="160"/>
      </w:pPr>
      <w:r w:rsidRPr="0039391F">
        <w:lastRenderedPageBreak/>
        <w:t xml:space="preserve">The event is </w:t>
      </w:r>
      <w:r w:rsidRPr="0039391F">
        <w:rPr>
          <w:b/>
          <w:bCs/>
        </w:rPr>
        <w:t>in-person or online</w:t>
      </w:r>
      <w:r w:rsidRPr="0039391F">
        <w:t>, including those in hired external venues.</w:t>
      </w:r>
    </w:p>
    <w:p w:rsidRPr="0039391F" w:rsidR="00637920" w:rsidP="00637920" w:rsidRDefault="00637920" w14:paraId="3456EFBE" w14:textId="77777777">
      <w:r w:rsidRPr="0039391F">
        <w:t xml:space="preserve">It </w:t>
      </w:r>
      <w:r w:rsidRPr="0039391F">
        <w:rPr>
          <w:b/>
          <w:bCs/>
        </w:rPr>
        <w:t>does not apply</w:t>
      </w:r>
      <w:r w:rsidRPr="0039391F">
        <w:t xml:space="preserve"> to:</w:t>
      </w:r>
    </w:p>
    <w:p w:rsidRPr="0039391F" w:rsidR="00637920" w:rsidP="00637920" w:rsidRDefault="00637920" w14:paraId="06381BE7" w14:textId="77777777">
      <w:pPr>
        <w:numPr>
          <w:ilvl w:val="0"/>
          <w:numId w:val="4"/>
        </w:numPr>
        <w:spacing w:after="160"/>
      </w:pPr>
      <w:r w:rsidRPr="0039391F">
        <w:t>Regular teaching (lectures, seminars, tutorials),</w:t>
      </w:r>
    </w:p>
    <w:p w:rsidRPr="0039391F" w:rsidR="00637920" w:rsidP="00637920" w:rsidRDefault="00637920" w14:paraId="31932929" w14:textId="77777777">
      <w:pPr>
        <w:numPr>
          <w:ilvl w:val="0"/>
          <w:numId w:val="4"/>
        </w:numPr>
        <w:spacing w:after="160"/>
      </w:pPr>
      <w:r w:rsidRPr="0039391F">
        <w:t>Academic research meetings (that are part of the University’s normal programmes), or</w:t>
      </w:r>
    </w:p>
    <w:p w:rsidRPr="0039391F" w:rsidR="00637920" w:rsidP="00637920" w:rsidRDefault="00637920" w14:paraId="759EE53B" w14:textId="77777777">
      <w:pPr>
        <w:numPr>
          <w:ilvl w:val="0"/>
          <w:numId w:val="4"/>
        </w:numPr>
        <w:spacing w:after="160"/>
      </w:pPr>
      <w:r w:rsidRPr="0039391F">
        <w:t>Purely social gatherings.</w:t>
      </w:r>
    </w:p>
    <w:p w:rsidRPr="0039391F" w:rsidR="00637920" w:rsidP="00637920" w:rsidRDefault="00637920" w14:paraId="6BCCF261" w14:textId="77777777">
      <w:bookmarkStart w:name="_Hlk212192167" w:id="0"/>
      <w:r w:rsidRPr="0039391F">
        <w:t>If unsure whether your event is covered, email freedomofspeech@citystgeorges.ac.uk.</w:t>
      </w:r>
      <w:r w:rsidRPr="0039391F">
        <w:br/>
        <w:t xml:space="preserve">When in doubt — assume the procedure </w:t>
      </w:r>
      <w:r w:rsidRPr="0039391F">
        <w:rPr>
          <w:i/>
          <w:iCs/>
        </w:rPr>
        <w:t>does</w:t>
      </w:r>
      <w:r w:rsidRPr="0039391F">
        <w:t xml:space="preserve"> apply.</w:t>
      </w:r>
    </w:p>
    <w:bookmarkEnd w:id="0"/>
    <w:p w:rsidRPr="0039391F" w:rsidR="00637920" w:rsidP="00637920" w:rsidRDefault="00637920" w14:paraId="307B6D73" w14:textId="77777777">
      <w:pPr>
        <w:rPr>
          <w:b/>
        </w:rPr>
      </w:pPr>
      <w:r w:rsidRPr="0039391F">
        <w:rPr>
          <w:b/>
        </w:rPr>
        <w:t>2. Overview of responsibilities</w:t>
      </w:r>
    </w:p>
    <w:p w:rsidRPr="0039391F" w:rsidR="00637920" w:rsidP="00637920" w:rsidRDefault="00637920" w14:paraId="0A229226" w14:textId="77777777">
      <w:r w:rsidRPr="0039391F">
        <w:rPr>
          <w:b/>
          <w:bCs/>
        </w:rPr>
        <w:t>Event Organiser</w:t>
      </w:r>
      <w:r w:rsidRPr="0039391F">
        <w:t xml:space="preserve"> (staff member, student, society, SU officer):</w:t>
      </w:r>
    </w:p>
    <w:p w:rsidRPr="0039391F" w:rsidR="00637920" w:rsidP="00637920" w:rsidRDefault="00637920" w14:paraId="6B4D6636" w14:textId="77777777">
      <w:pPr>
        <w:numPr>
          <w:ilvl w:val="0"/>
          <w:numId w:val="6"/>
        </w:numPr>
        <w:spacing w:after="160"/>
      </w:pPr>
      <w:r w:rsidRPr="0039391F">
        <w:t xml:space="preserve">Must complete and submit the </w:t>
      </w:r>
      <w:r w:rsidRPr="0039391F">
        <w:rPr>
          <w:b/>
          <w:bCs/>
        </w:rPr>
        <w:t>Visiting Speaker Request Form</w:t>
      </w:r>
      <w:r w:rsidRPr="0039391F">
        <w:t xml:space="preserve"> (Appendix 2) to the relevant designated Officer at least 15 days in advance of the event.</w:t>
      </w:r>
    </w:p>
    <w:p w:rsidRPr="0039391F" w:rsidR="00637920" w:rsidP="00637920" w:rsidRDefault="00637920" w14:paraId="13571E7B" w14:textId="77777777">
      <w:pPr>
        <w:numPr>
          <w:ilvl w:val="0"/>
          <w:numId w:val="6"/>
        </w:numPr>
        <w:spacing w:after="160"/>
      </w:pPr>
      <w:r w:rsidRPr="0039391F">
        <w:t>Must ensure that all speakers and attendees comply with the Code of Practice.</w:t>
      </w:r>
    </w:p>
    <w:p w:rsidRPr="0039391F" w:rsidR="00637920" w:rsidP="00637920" w:rsidRDefault="00637920" w14:paraId="103907B7" w14:textId="77777777">
      <w:pPr>
        <w:numPr>
          <w:ilvl w:val="0"/>
          <w:numId w:val="6"/>
        </w:numPr>
        <w:spacing w:after="160"/>
      </w:pPr>
      <w:r w:rsidRPr="0039391F">
        <w:t>Must not advertise the event or invite the speaker until written approval is received.</w:t>
      </w:r>
    </w:p>
    <w:p w:rsidRPr="0039391F" w:rsidR="00637920" w:rsidP="00637920" w:rsidRDefault="00637920" w14:paraId="76E99F57" w14:textId="77777777">
      <w:pPr>
        <w:numPr>
          <w:ilvl w:val="0"/>
          <w:numId w:val="6"/>
        </w:numPr>
        <w:spacing w:after="160"/>
      </w:pPr>
      <w:r w:rsidRPr="0039391F">
        <w:t xml:space="preserve">Must cooperate with any </w:t>
      </w:r>
      <w:r w:rsidRPr="0039391F">
        <w:rPr>
          <w:b/>
          <w:bCs/>
        </w:rPr>
        <w:t>Campus Coordination Conditions</w:t>
      </w:r>
      <w:r w:rsidRPr="0039391F">
        <w:t xml:space="preserve"> imposed by the University.</w:t>
      </w:r>
    </w:p>
    <w:p w:rsidRPr="0039391F" w:rsidR="00637920" w:rsidP="00637920" w:rsidRDefault="00637920" w14:paraId="7B92BEB8" w14:textId="77777777">
      <w:r w:rsidRPr="0039391F">
        <w:rPr>
          <w:b/>
          <w:bCs/>
        </w:rPr>
        <w:t>Designated Officer</w:t>
      </w:r>
      <w:r w:rsidRPr="0039391F">
        <w:t xml:space="preserve"> (see Appendix 3):</w:t>
      </w:r>
    </w:p>
    <w:p w:rsidRPr="0039391F" w:rsidR="00637920" w:rsidP="00637920" w:rsidRDefault="00637920" w14:paraId="47AB8B42" w14:textId="77777777">
      <w:pPr>
        <w:numPr>
          <w:ilvl w:val="0"/>
          <w:numId w:val="1"/>
        </w:numPr>
        <w:spacing w:after="160"/>
      </w:pPr>
      <w:r w:rsidRPr="0039391F">
        <w:t xml:space="preserve">Reviews the request within </w:t>
      </w:r>
      <w:r w:rsidRPr="0039391F">
        <w:rPr>
          <w:b/>
          <w:bCs/>
        </w:rPr>
        <w:t>10 working days</w:t>
      </w:r>
      <w:r w:rsidRPr="0039391F">
        <w:t>.</w:t>
      </w:r>
    </w:p>
    <w:p w:rsidRPr="0039391F" w:rsidR="00637920" w:rsidP="00637920" w:rsidRDefault="00637920" w14:paraId="1B0A4AE8" w14:textId="77777777">
      <w:pPr>
        <w:numPr>
          <w:ilvl w:val="0"/>
          <w:numId w:val="1"/>
        </w:numPr>
        <w:spacing w:after="160"/>
      </w:pPr>
      <w:r w:rsidRPr="0039391F">
        <w:t xml:space="preserve">May approve the event or refer it for further consideration to the </w:t>
      </w:r>
      <w:r w:rsidRPr="0039391F">
        <w:rPr>
          <w:b/>
          <w:bCs/>
        </w:rPr>
        <w:t>Designated Visiting Speaker Officer</w:t>
      </w:r>
      <w:r w:rsidRPr="0039391F">
        <w:t>.</w:t>
      </w:r>
    </w:p>
    <w:p w:rsidRPr="0039391F" w:rsidR="00637920" w:rsidP="00637920" w:rsidRDefault="00637920" w14:paraId="74E85748" w14:textId="77777777">
      <w:r w:rsidRPr="0039391F">
        <w:rPr>
          <w:b/>
          <w:bCs/>
        </w:rPr>
        <w:t>Designated Visiting Speaker Officer (Deputy President – Operations)</w:t>
      </w:r>
      <w:r w:rsidRPr="0039391F">
        <w:t>:</w:t>
      </w:r>
    </w:p>
    <w:p w:rsidRPr="0039391F" w:rsidR="00637920" w:rsidP="00637920" w:rsidRDefault="00637920" w14:paraId="10695D6B" w14:textId="77777777">
      <w:pPr>
        <w:numPr>
          <w:ilvl w:val="0"/>
          <w:numId w:val="7"/>
        </w:numPr>
        <w:spacing w:after="160"/>
      </w:pPr>
      <w:r w:rsidRPr="0039391F">
        <w:t>Reviews higher-risk or escalated cases (within an additional 5 working days).</w:t>
      </w:r>
    </w:p>
    <w:p w:rsidRPr="0039391F" w:rsidR="00637920" w:rsidP="00637920" w:rsidRDefault="00637920" w14:paraId="353199E1" w14:textId="77777777">
      <w:pPr>
        <w:numPr>
          <w:ilvl w:val="0"/>
          <w:numId w:val="7"/>
        </w:numPr>
        <w:spacing w:after="160"/>
      </w:pPr>
      <w:r w:rsidRPr="0039391F">
        <w:t>May approve, impose conditions, or refuse permission.</w:t>
      </w:r>
    </w:p>
    <w:p w:rsidRPr="0039391F" w:rsidR="00637920" w:rsidP="00637920" w:rsidRDefault="00637920" w14:paraId="4AE91591" w14:textId="77777777"/>
    <w:p w:rsidRPr="0039391F" w:rsidR="00637920" w:rsidP="00637920" w:rsidRDefault="00637920" w14:paraId="6AED4ACB" w14:textId="77777777">
      <w:pPr>
        <w:rPr>
          <w:b/>
        </w:rPr>
      </w:pPr>
      <w:r w:rsidRPr="0039391F">
        <w:rPr>
          <w:b/>
        </w:rPr>
        <w:t>3. Step-by-Step Process for Organisers</w:t>
      </w:r>
    </w:p>
    <w:tbl>
      <w:tblPr>
        <w:tblW w:w="0" w:type="auto"/>
        <w:tblLayout w:type="fixed"/>
        <w:tblLook w:val="06A0" w:firstRow="1" w:lastRow="0" w:firstColumn="1" w:lastColumn="0" w:noHBand="1" w:noVBand="1"/>
      </w:tblPr>
      <w:tblGrid>
        <w:gridCol w:w="1154"/>
        <w:gridCol w:w="4295"/>
        <w:gridCol w:w="1603"/>
        <w:gridCol w:w="1963"/>
      </w:tblGrid>
      <w:tr w:rsidRPr="0039391F" w:rsidR="00637920" w:rsidTr="0067055B" w14:paraId="4A064A0B" w14:textId="77777777">
        <w:trPr>
          <w:trHeight w:val="300"/>
        </w:trPr>
        <w:tc>
          <w:tcPr>
            <w:tcW w:w="1154" w:type="dxa"/>
            <w:vAlign w:val="center"/>
          </w:tcPr>
          <w:p w:rsidRPr="0039391F" w:rsidR="00637920" w:rsidP="0067055B" w:rsidRDefault="00637920" w14:paraId="2C5B35E6" w14:textId="77777777">
            <w:pPr>
              <w:rPr>
                <w:b/>
              </w:rPr>
            </w:pPr>
            <w:r w:rsidRPr="0039391F">
              <w:rPr>
                <w:b/>
                <w:bCs/>
              </w:rPr>
              <w:t>Step</w:t>
            </w:r>
          </w:p>
        </w:tc>
        <w:tc>
          <w:tcPr>
            <w:tcW w:w="4295" w:type="dxa"/>
            <w:vAlign w:val="center"/>
          </w:tcPr>
          <w:p w:rsidRPr="0039391F" w:rsidR="00637920" w:rsidP="0067055B" w:rsidRDefault="00637920" w14:paraId="422F7E9D" w14:textId="77777777">
            <w:pPr>
              <w:rPr>
                <w:b/>
              </w:rPr>
            </w:pPr>
            <w:r w:rsidRPr="0039391F">
              <w:rPr>
                <w:b/>
                <w:bCs/>
              </w:rPr>
              <w:t>Action</w:t>
            </w:r>
          </w:p>
        </w:tc>
        <w:tc>
          <w:tcPr>
            <w:tcW w:w="1603" w:type="dxa"/>
            <w:vAlign w:val="center"/>
          </w:tcPr>
          <w:p w:rsidRPr="0039391F" w:rsidR="00637920" w:rsidP="0067055B" w:rsidRDefault="00637920" w14:paraId="33192082" w14:textId="77777777">
            <w:pPr>
              <w:rPr>
                <w:b/>
              </w:rPr>
            </w:pPr>
            <w:r w:rsidRPr="0039391F">
              <w:rPr>
                <w:b/>
                <w:bCs/>
              </w:rPr>
              <w:t>Who</w:t>
            </w:r>
          </w:p>
        </w:tc>
        <w:tc>
          <w:tcPr>
            <w:tcW w:w="1963" w:type="dxa"/>
            <w:vAlign w:val="center"/>
          </w:tcPr>
          <w:p w:rsidRPr="0039391F" w:rsidR="00637920" w:rsidP="0067055B" w:rsidRDefault="00637920" w14:paraId="6600DC0A" w14:textId="77777777">
            <w:pPr>
              <w:rPr>
                <w:b/>
              </w:rPr>
            </w:pPr>
            <w:r w:rsidRPr="0039391F">
              <w:rPr>
                <w:b/>
                <w:bCs/>
              </w:rPr>
              <w:t>Timing</w:t>
            </w:r>
          </w:p>
        </w:tc>
      </w:tr>
      <w:tr w:rsidRPr="0039391F" w:rsidR="00637920" w:rsidTr="0067055B" w14:paraId="0E57E71A" w14:textId="77777777">
        <w:trPr>
          <w:trHeight w:val="300"/>
        </w:trPr>
        <w:tc>
          <w:tcPr>
            <w:tcW w:w="1154" w:type="dxa"/>
            <w:vAlign w:val="center"/>
          </w:tcPr>
          <w:p w:rsidRPr="0039391F" w:rsidR="00637920" w:rsidP="0067055B" w:rsidRDefault="00637920" w14:paraId="6E535CBD" w14:textId="77777777">
            <w:pPr>
              <w:rPr>
                <w:b/>
              </w:rPr>
            </w:pPr>
            <w:r w:rsidRPr="0039391F">
              <w:rPr>
                <w:b/>
                <w:bCs/>
              </w:rPr>
              <w:t>1. Plan your event</w:t>
            </w:r>
          </w:p>
        </w:tc>
        <w:tc>
          <w:tcPr>
            <w:tcW w:w="4295" w:type="dxa"/>
            <w:vAlign w:val="center"/>
          </w:tcPr>
          <w:p w:rsidRPr="0039391F" w:rsidR="00637920" w:rsidP="0067055B" w:rsidRDefault="00637920" w14:paraId="0F19A936" w14:textId="77777777">
            <w:r w:rsidRPr="0039391F">
              <w:t>Identify your proposed speaker(s), topic, audience, date, and venue (on-campus or online).</w:t>
            </w:r>
          </w:p>
        </w:tc>
        <w:tc>
          <w:tcPr>
            <w:tcW w:w="1603" w:type="dxa"/>
            <w:vAlign w:val="center"/>
          </w:tcPr>
          <w:p w:rsidRPr="0039391F" w:rsidR="00637920" w:rsidP="0067055B" w:rsidRDefault="00637920" w14:paraId="667D3B7B" w14:textId="77777777">
            <w:r w:rsidRPr="0039391F">
              <w:t>Event Organiser</w:t>
            </w:r>
          </w:p>
        </w:tc>
        <w:tc>
          <w:tcPr>
            <w:tcW w:w="1963" w:type="dxa"/>
            <w:vAlign w:val="center"/>
          </w:tcPr>
          <w:p w:rsidRPr="0039391F" w:rsidR="00637920" w:rsidP="0067055B" w:rsidRDefault="00637920" w14:paraId="6D5FC6BB" w14:textId="77777777">
            <w:r w:rsidRPr="0039391F">
              <w:t>As early as possible</w:t>
            </w:r>
          </w:p>
        </w:tc>
      </w:tr>
      <w:tr w:rsidRPr="0039391F" w:rsidR="00637920" w:rsidTr="0067055B" w14:paraId="6340F7B1" w14:textId="77777777">
        <w:trPr>
          <w:trHeight w:val="300"/>
        </w:trPr>
        <w:tc>
          <w:tcPr>
            <w:tcW w:w="1154" w:type="dxa"/>
            <w:vAlign w:val="center"/>
          </w:tcPr>
          <w:p w:rsidRPr="0039391F" w:rsidR="00637920" w:rsidP="0067055B" w:rsidRDefault="00637920" w14:paraId="5D498AF6" w14:textId="77777777">
            <w:pPr>
              <w:rPr>
                <w:b/>
                <w:bCs/>
              </w:rPr>
            </w:pPr>
            <w:r w:rsidRPr="0039391F">
              <w:rPr>
                <w:b/>
                <w:bCs/>
              </w:rPr>
              <w:t>2. Check if approval is needed</w:t>
            </w:r>
          </w:p>
          <w:p w:rsidRPr="0039391F" w:rsidR="00637920" w:rsidP="0067055B" w:rsidRDefault="00637920" w14:paraId="6964FA3F" w14:textId="77777777">
            <w:pPr>
              <w:rPr>
                <w:b/>
              </w:rPr>
            </w:pPr>
          </w:p>
        </w:tc>
        <w:tc>
          <w:tcPr>
            <w:tcW w:w="4295" w:type="dxa"/>
            <w:vAlign w:val="center"/>
          </w:tcPr>
          <w:p w:rsidRPr="0039391F" w:rsidR="00637920" w:rsidP="0067055B" w:rsidRDefault="00637920" w14:paraId="61E13EE4" w14:textId="77777777">
            <w:r w:rsidRPr="0039391F">
              <w:t xml:space="preserve">Does your event include a visiting/external </w:t>
            </w:r>
            <w:proofErr w:type="gramStart"/>
            <w:r w:rsidRPr="0039391F">
              <w:t>speaker</w:t>
            </w:r>
            <w:proofErr w:type="gramEnd"/>
            <w:r w:rsidRPr="0039391F">
              <w:t xml:space="preserve"> or could it involve controversial or sensitive issues? If yes — continue.</w:t>
            </w:r>
          </w:p>
        </w:tc>
        <w:tc>
          <w:tcPr>
            <w:tcW w:w="1603" w:type="dxa"/>
            <w:vAlign w:val="center"/>
          </w:tcPr>
          <w:p w:rsidRPr="0039391F" w:rsidR="00637920" w:rsidP="0067055B" w:rsidRDefault="00637920" w14:paraId="1936A246" w14:textId="77777777">
            <w:r w:rsidRPr="0039391F">
              <w:t>Event Organiser</w:t>
            </w:r>
          </w:p>
        </w:tc>
        <w:tc>
          <w:tcPr>
            <w:tcW w:w="1963" w:type="dxa"/>
            <w:vAlign w:val="center"/>
          </w:tcPr>
          <w:p w:rsidRPr="0039391F" w:rsidR="00637920" w:rsidP="0067055B" w:rsidRDefault="00637920" w14:paraId="5FFC0B0E" w14:textId="77777777">
            <w:r w:rsidRPr="0039391F">
              <w:t>Early in planning</w:t>
            </w:r>
          </w:p>
        </w:tc>
      </w:tr>
      <w:tr w:rsidRPr="0039391F" w:rsidR="00637920" w:rsidTr="0067055B" w14:paraId="368C209B" w14:textId="77777777">
        <w:trPr>
          <w:trHeight w:val="300"/>
        </w:trPr>
        <w:tc>
          <w:tcPr>
            <w:tcW w:w="1154" w:type="dxa"/>
            <w:vAlign w:val="center"/>
          </w:tcPr>
          <w:p w:rsidRPr="0039391F" w:rsidR="00637920" w:rsidP="0067055B" w:rsidRDefault="00637920" w14:paraId="4E6B38D0" w14:textId="77777777">
            <w:pPr>
              <w:rPr>
                <w:b/>
                <w:bCs/>
              </w:rPr>
            </w:pPr>
            <w:r w:rsidRPr="0039391F">
              <w:rPr>
                <w:b/>
                <w:bCs/>
              </w:rPr>
              <w:t>3. Complete the Visiting Speaker Request Form</w:t>
            </w:r>
          </w:p>
          <w:p w:rsidRPr="0039391F" w:rsidR="00637920" w:rsidP="0067055B" w:rsidRDefault="00637920" w14:paraId="026F528A" w14:textId="77777777">
            <w:pPr>
              <w:rPr>
                <w:b/>
              </w:rPr>
            </w:pPr>
          </w:p>
        </w:tc>
        <w:tc>
          <w:tcPr>
            <w:tcW w:w="4295" w:type="dxa"/>
            <w:vAlign w:val="center"/>
          </w:tcPr>
          <w:p w:rsidRPr="0039391F" w:rsidR="00637920" w:rsidP="0067055B" w:rsidRDefault="00637920" w14:paraId="03BE3CD9" w14:textId="77777777">
            <w:r w:rsidRPr="0039391F">
              <w:t xml:space="preserve">Use the </w:t>
            </w:r>
            <w:r w:rsidRPr="0039391F">
              <w:rPr>
                <w:b/>
                <w:bCs/>
              </w:rPr>
              <w:t>Visiting Speaker Request Form Appendix 2</w:t>
            </w:r>
            <w:r w:rsidRPr="0039391F">
              <w:t>. Include: speaker details, topic summary, likely audience, potential risks, and links to speaker’s website or social media.</w:t>
            </w:r>
            <w:r>
              <w:t xml:space="preserve"> This should be submitted before the speaker is invited. </w:t>
            </w:r>
          </w:p>
        </w:tc>
        <w:tc>
          <w:tcPr>
            <w:tcW w:w="1603" w:type="dxa"/>
            <w:vAlign w:val="center"/>
          </w:tcPr>
          <w:p w:rsidRPr="0039391F" w:rsidR="00637920" w:rsidP="0067055B" w:rsidRDefault="00637920" w14:paraId="3430F39A" w14:textId="77777777">
            <w:r w:rsidRPr="0039391F">
              <w:t>Event Organiser</w:t>
            </w:r>
          </w:p>
        </w:tc>
        <w:tc>
          <w:tcPr>
            <w:tcW w:w="1963" w:type="dxa"/>
            <w:vAlign w:val="center"/>
          </w:tcPr>
          <w:p w:rsidRPr="0039391F" w:rsidR="00637920" w:rsidP="0067055B" w:rsidRDefault="00637920" w14:paraId="54FE3034" w14:textId="77777777">
            <w:r w:rsidRPr="0039391F">
              <w:t xml:space="preserve">Submit </w:t>
            </w:r>
            <w:r w:rsidRPr="0039391F">
              <w:rPr>
                <w:b/>
                <w:bCs/>
              </w:rPr>
              <w:t>at least 15 working days</w:t>
            </w:r>
            <w:r w:rsidRPr="0039391F">
              <w:t xml:space="preserve"> before the event (</w:t>
            </w:r>
            <w:r w:rsidRPr="0039391F">
              <w:rPr>
                <w:b/>
              </w:rPr>
              <w:t>no more than 3 months in advance</w:t>
            </w:r>
            <w:r w:rsidRPr="0039391F">
              <w:t>)</w:t>
            </w:r>
          </w:p>
        </w:tc>
      </w:tr>
      <w:tr w:rsidRPr="0039391F" w:rsidR="00637920" w:rsidTr="0067055B" w14:paraId="29A5D58A" w14:textId="77777777">
        <w:trPr>
          <w:trHeight w:val="300"/>
        </w:trPr>
        <w:tc>
          <w:tcPr>
            <w:tcW w:w="1154" w:type="dxa"/>
            <w:vAlign w:val="center"/>
          </w:tcPr>
          <w:p w:rsidRPr="0039391F" w:rsidR="00637920" w:rsidP="0067055B" w:rsidRDefault="00637920" w14:paraId="38CBB712" w14:textId="77777777">
            <w:pPr>
              <w:rPr>
                <w:b/>
              </w:rPr>
            </w:pPr>
            <w:r w:rsidRPr="0039391F">
              <w:rPr>
                <w:b/>
                <w:bCs/>
              </w:rPr>
              <w:t>4. Send the form to the right Designat</w:t>
            </w:r>
            <w:r w:rsidRPr="0039391F">
              <w:rPr>
                <w:b/>
                <w:bCs/>
              </w:rPr>
              <w:lastRenderedPageBreak/>
              <w:t>ed Officer</w:t>
            </w:r>
          </w:p>
        </w:tc>
        <w:tc>
          <w:tcPr>
            <w:tcW w:w="4295" w:type="dxa"/>
            <w:vAlign w:val="center"/>
          </w:tcPr>
          <w:p w:rsidRPr="0039391F" w:rsidR="00637920" w:rsidP="0067055B" w:rsidRDefault="00637920" w14:paraId="7A3B026E" w14:textId="77777777">
            <w:r w:rsidRPr="0039391F">
              <w:lastRenderedPageBreak/>
              <w:t xml:space="preserve">- </w:t>
            </w:r>
            <w:r w:rsidRPr="0039391F">
              <w:rPr>
                <w:b/>
                <w:bCs/>
              </w:rPr>
              <w:t>School events:</w:t>
            </w:r>
            <w:r w:rsidRPr="0039391F">
              <w:t xml:space="preserve"> School Chief Operating Officer / Senior or Director of Operations. </w:t>
            </w:r>
            <w:r w:rsidRPr="0039391F">
              <w:br/>
              <w:t xml:space="preserve">- </w:t>
            </w:r>
            <w:r w:rsidRPr="0039391F">
              <w:rPr>
                <w:b/>
                <w:bCs/>
              </w:rPr>
              <w:t>Bayes societies:</w:t>
            </w:r>
            <w:r w:rsidRPr="0039391F">
              <w:t xml:space="preserve"> Bayes Business School</w:t>
            </w:r>
            <w:r>
              <w:t xml:space="preserve"> COO</w:t>
            </w:r>
            <w:r w:rsidRPr="0039391F">
              <w:br/>
              <w:t xml:space="preserve">- </w:t>
            </w:r>
            <w:r w:rsidRPr="0039391F">
              <w:rPr>
                <w:b/>
                <w:bCs/>
              </w:rPr>
              <w:t>Students’ Union events:</w:t>
            </w:r>
            <w:r w:rsidRPr="0039391F">
              <w:t xml:space="preserve"> SU Chief Executive. </w:t>
            </w:r>
            <w:r w:rsidRPr="0039391F">
              <w:br/>
            </w:r>
            <w:r w:rsidRPr="0039391F">
              <w:lastRenderedPageBreak/>
              <w:t xml:space="preserve">- </w:t>
            </w:r>
            <w:r w:rsidRPr="0039391F">
              <w:rPr>
                <w:b/>
                <w:bCs/>
              </w:rPr>
              <w:t>Professional Services events:</w:t>
            </w:r>
            <w:r w:rsidRPr="0039391F">
              <w:t xml:space="preserve"> Relevant Service Director. </w:t>
            </w:r>
            <w:r w:rsidRPr="0039391F">
              <w:br/>
              <w:t xml:space="preserve">- </w:t>
            </w:r>
            <w:r w:rsidRPr="0039391F">
              <w:rPr>
                <w:b/>
                <w:bCs/>
              </w:rPr>
              <w:t>University-wide events:</w:t>
            </w:r>
            <w:r w:rsidRPr="0039391F">
              <w:t xml:space="preserve"> Head of Communications &amp; Events (External Relations Team).</w:t>
            </w:r>
          </w:p>
          <w:p w:rsidRPr="0039391F" w:rsidR="00637920" w:rsidP="0067055B" w:rsidRDefault="00637920" w14:paraId="44D92E72" w14:textId="77777777"/>
        </w:tc>
        <w:tc>
          <w:tcPr>
            <w:tcW w:w="1603" w:type="dxa"/>
            <w:vAlign w:val="center"/>
          </w:tcPr>
          <w:p w:rsidRPr="0039391F" w:rsidR="00637920" w:rsidP="0067055B" w:rsidRDefault="00637920" w14:paraId="5AD7A840" w14:textId="77777777">
            <w:r w:rsidRPr="0039391F">
              <w:lastRenderedPageBreak/>
              <w:t>Event Organiser</w:t>
            </w:r>
          </w:p>
        </w:tc>
        <w:tc>
          <w:tcPr>
            <w:tcW w:w="1963" w:type="dxa"/>
            <w:vAlign w:val="center"/>
          </w:tcPr>
          <w:p w:rsidRPr="0039391F" w:rsidR="00637920" w:rsidP="0067055B" w:rsidRDefault="00637920" w14:paraId="1E5E7B1D" w14:textId="77777777">
            <w:r w:rsidRPr="0039391F">
              <w:t>At least 15 working days before</w:t>
            </w:r>
          </w:p>
        </w:tc>
      </w:tr>
      <w:tr w:rsidRPr="0039391F" w:rsidR="00637920" w:rsidTr="0067055B" w14:paraId="00C525DF" w14:textId="77777777">
        <w:trPr>
          <w:trHeight w:val="300"/>
        </w:trPr>
        <w:tc>
          <w:tcPr>
            <w:tcW w:w="1154" w:type="dxa"/>
            <w:vAlign w:val="center"/>
          </w:tcPr>
          <w:p w:rsidRPr="0039391F" w:rsidR="00637920" w:rsidP="0067055B" w:rsidRDefault="00637920" w14:paraId="59FDC5FB" w14:textId="77777777">
            <w:pPr>
              <w:rPr>
                <w:b/>
              </w:rPr>
            </w:pPr>
            <w:r w:rsidRPr="0039391F">
              <w:rPr>
                <w:b/>
                <w:bCs/>
              </w:rPr>
              <w:t>5. Initial review</w:t>
            </w:r>
          </w:p>
        </w:tc>
        <w:tc>
          <w:tcPr>
            <w:tcW w:w="4295" w:type="dxa"/>
            <w:vAlign w:val="center"/>
          </w:tcPr>
          <w:p w:rsidRPr="0039391F" w:rsidR="00637920" w:rsidP="0067055B" w:rsidRDefault="00637920" w14:paraId="77A10685" w14:textId="77777777">
            <w:r w:rsidRPr="0039391F">
              <w:t>Designated Officer checks the form, assesses risks, may request more information, and decides whether to approve or escalate.</w:t>
            </w:r>
          </w:p>
          <w:p w:rsidRPr="0039391F" w:rsidR="00637920" w:rsidP="0067055B" w:rsidRDefault="00637920" w14:paraId="7784226F" w14:textId="77777777"/>
        </w:tc>
        <w:tc>
          <w:tcPr>
            <w:tcW w:w="1603" w:type="dxa"/>
            <w:vAlign w:val="center"/>
          </w:tcPr>
          <w:p w:rsidRPr="0039391F" w:rsidR="00637920" w:rsidP="0067055B" w:rsidRDefault="00637920" w14:paraId="232A01EC" w14:textId="77777777">
            <w:r w:rsidRPr="0039391F">
              <w:t>Designated Officer</w:t>
            </w:r>
          </w:p>
        </w:tc>
        <w:tc>
          <w:tcPr>
            <w:tcW w:w="1963" w:type="dxa"/>
            <w:vAlign w:val="center"/>
          </w:tcPr>
          <w:p w:rsidRPr="0039391F" w:rsidR="00637920" w:rsidP="0067055B" w:rsidRDefault="00637920" w14:paraId="1D988F7B" w14:textId="77777777">
            <w:r w:rsidRPr="0039391F">
              <w:t>Within 10 working days of receipt</w:t>
            </w:r>
          </w:p>
        </w:tc>
      </w:tr>
      <w:tr w:rsidRPr="0039391F" w:rsidR="00637920" w:rsidTr="0067055B" w14:paraId="4A856E50" w14:textId="77777777">
        <w:trPr>
          <w:trHeight w:val="300"/>
        </w:trPr>
        <w:tc>
          <w:tcPr>
            <w:tcW w:w="1154" w:type="dxa"/>
            <w:vAlign w:val="center"/>
          </w:tcPr>
          <w:p w:rsidRPr="0039391F" w:rsidR="00637920" w:rsidP="0067055B" w:rsidRDefault="00637920" w14:paraId="264A9ABB" w14:textId="77777777">
            <w:pPr>
              <w:rPr>
                <w:b/>
              </w:rPr>
            </w:pPr>
            <w:r w:rsidRPr="0039391F">
              <w:rPr>
                <w:b/>
                <w:bCs/>
              </w:rPr>
              <w:t>6. Referral (if required)</w:t>
            </w:r>
          </w:p>
        </w:tc>
        <w:tc>
          <w:tcPr>
            <w:tcW w:w="4295" w:type="dxa"/>
            <w:vAlign w:val="center"/>
          </w:tcPr>
          <w:p w:rsidRPr="0039391F" w:rsidR="00637920" w:rsidP="0067055B" w:rsidRDefault="00637920" w14:paraId="171EACB0" w14:textId="77777777">
            <w:r w:rsidRPr="0039391F">
              <w:t xml:space="preserve">If the event involves potential legal, safety, reputational, or security risks, it is referred to the </w:t>
            </w:r>
            <w:r w:rsidRPr="0039391F">
              <w:rPr>
                <w:b/>
                <w:bCs/>
              </w:rPr>
              <w:t>Deputy President (Operations)</w:t>
            </w:r>
            <w:r w:rsidRPr="0039391F">
              <w:t xml:space="preserve"> as the Designated Visiting Speaker Officer.</w:t>
            </w:r>
          </w:p>
        </w:tc>
        <w:tc>
          <w:tcPr>
            <w:tcW w:w="1603" w:type="dxa"/>
            <w:vAlign w:val="center"/>
          </w:tcPr>
          <w:p w:rsidRPr="0039391F" w:rsidR="00637920" w:rsidP="0067055B" w:rsidRDefault="00637920" w14:paraId="0ED3961F" w14:textId="77777777">
            <w:r w:rsidRPr="0039391F">
              <w:t>Designated Officer</w:t>
            </w:r>
          </w:p>
        </w:tc>
        <w:tc>
          <w:tcPr>
            <w:tcW w:w="1963" w:type="dxa"/>
            <w:vAlign w:val="center"/>
          </w:tcPr>
          <w:p w:rsidRPr="0039391F" w:rsidR="00637920" w:rsidP="0067055B" w:rsidRDefault="00637920" w14:paraId="6632EB9A" w14:textId="77777777">
            <w:r w:rsidRPr="0039391F">
              <w:t>Adds up to 5 working days</w:t>
            </w:r>
          </w:p>
        </w:tc>
      </w:tr>
      <w:tr w:rsidRPr="0039391F" w:rsidR="00637920" w:rsidTr="0067055B" w14:paraId="791E714A" w14:textId="77777777">
        <w:trPr>
          <w:trHeight w:val="300"/>
        </w:trPr>
        <w:tc>
          <w:tcPr>
            <w:tcW w:w="1154" w:type="dxa"/>
            <w:vAlign w:val="center"/>
          </w:tcPr>
          <w:p w:rsidRPr="0039391F" w:rsidR="00637920" w:rsidP="0067055B" w:rsidRDefault="00637920" w14:paraId="7BE5E2DA" w14:textId="77777777">
            <w:pPr>
              <w:rPr>
                <w:b/>
              </w:rPr>
            </w:pPr>
            <w:r w:rsidRPr="0039391F">
              <w:rPr>
                <w:b/>
                <w:bCs/>
              </w:rPr>
              <w:t>7. Final decision</w:t>
            </w:r>
          </w:p>
        </w:tc>
        <w:tc>
          <w:tcPr>
            <w:tcW w:w="4295" w:type="dxa"/>
            <w:vAlign w:val="center"/>
          </w:tcPr>
          <w:p w:rsidRPr="0039391F" w:rsidR="00637920" w:rsidP="0067055B" w:rsidRDefault="00637920" w14:paraId="3D3CC5B3" w14:textId="77777777">
            <w:r w:rsidRPr="0039391F">
              <w:t xml:space="preserve">The event may be: </w:t>
            </w:r>
            <w:r w:rsidRPr="0039391F">
              <w:br/>
              <w:t xml:space="preserve">- </w:t>
            </w:r>
            <w:r w:rsidRPr="0039391F">
              <w:rPr>
                <w:b/>
                <w:bCs/>
              </w:rPr>
              <w:t>Approved</w:t>
            </w:r>
            <w:r w:rsidRPr="0039391F">
              <w:t xml:space="preserve">, possibly with </w:t>
            </w:r>
            <w:r w:rsidRPr="0039391F">
              <w:rPr>
                <w:b/>
                <w:bCs/>
              </w:rPr>
              <w:t>Campus Coordination Conditions</w:t>
            </w:r>
            <w:r w:rsidRPr="0039391F">
              <w:t xml:space="preserve"> (e.g. restricted audience, stewards, identity checks, media limits); </w:t>
            </w:r>
            <w:r w:rsidRPr="0039391F">
              <w:br/>
              <w:t xml:space="preserve">- </w:t>
            </w:r>
            <w:r w:rsidRPr="0039391F">
              <w:rPr>
                <w:b/>
                <w:bCs/>
              </w:rPr>
              <w:t>Not approved</w:t>
            </w:r>
            <w:r w:rsidRPr="0039391F">
              <w:t>, with reasons provided.</w:t>
            </w:r>
          </w:p>
        </w:tc>
        <w:tc>
          <w:tcPr>
            <w:tcW w:w="1603" w:type="dxa"/>
            <w:vAlign w:val="center"/>
          </w:tcPr>
          <w:p w:rsidRPr="0039391F" w:rsidR="00637920" w:rsidP="0067055B" w:rsidRDefault="00637920" w14:paraId="5F792B48" w14:textId="77777777">
            <w:r w:rsidRPr="0039391F">
              <w:t>Designated Visiting Speaker Officer (if referred) or Designated Officer</w:t>
            </w:r>
          </w:p>
        </w:tc>
        <w:tc>
          <w:tcPr>
            <w:tcW w:w="1963" w:type="dxa"/>
            <w:vAlign w:val="center"/>
          </w:tcPr>
          <w:p w:rsidRPr="0039391F" w:rsidR="00637920" w:rsidP="0067055B" w:rsidRDefault="00637920" w14:paraId="467E5F65" w14:textId="77777777">
            <w:r w:rsidRPr="0039391F">
              <w:t>Within 10–15 working days total</w:t>
            </w:r>
          </w:p>
        </w:tc>
      </w:tr>
      <w:tr w:rsidRPr="0039391F" w:rsidR="00637920" w:rsidTr="0067055B" w14:paraId="5ECA3DB0" w14:textId="77777777">
        <w:trPr>
          <w:trHeight w:val="300"/>
        </w:trPr>
        <w:tc>
          <w:tcPr>
            <w:tcW w:w="1154" w:type="dxa"/>
            <w:vAlign w:val="center"/>
          </w:tcPr>
          <w:p w:rsidRPr="0039391F" w:rsidR="00637920" w:rsidP="0067055B" w:rsidRDefault="00637920" w14:paraId="1FED2EA7" w14:textId="77777777">
            <w:pPr>
              <w:rPr>
                <w:b/>
              </w:rPr>
            </w:pPr>
            <w:r w:rsidRPr="0039391F">
              <w:rPr>
                <w:b/>
                <w:bCs/>
              </w:rPr>
              <w:t>8. Confirmation</w:t>
            </w:r>
          </w:p>
        </w:tc>
        <w:tc>
          <w:tcPr>
            <w:tcW w:w="4295" w:type="dxa"/>
            <w:vAlign w:val="center"/>
          </w:tcPr>
          <w:p w:rsidRPr="0039391F" w:rsidR="00637920" w:rsidP="0067055B" w:rsidRDefault="00637920" w14:paraId="69237F6D" w14:textId="77777777">
            <w:pPr>
              <w:rPr>
                <w:b/>
              </w:rPr>
            </w:pPr>
            <w:r w:rsidRPr="0039391F">
              <w:t xml:space="preserve">You receive written confirmation of the outcome and any conditions. </w:t>
            </w:r>
            <w:r w:rsidRPr="0039391F">
              <w:rPr>
                <w:b/>
                <w:bCs/>
              </w:rPr>
              <w:t>Only then may you invite the speaker and publicise the event.</w:t>
            </w:r>
          </w:p>
        </w:tc>
        <w:tc>
          <w:tcPr>
            <w:tcW w:w="1603" w:type="dxa"/>
            <w:vAlign w:val="center"/>
          </w:tcPr>
          <w:p w:rsidRPr="0039391F" w:rsidR="00637920" w:rsidP="0067055B" w:rsidRDefault="00637920" w14:paraId="11DC72BC" w14:textId="77777777">
            <w:r w:rsidRPr="0039391F">
              <w:t>Event Organiser</w:t>
            </w:r>
          </w:p>
        </w:tc>
        <w:tc>
          <w:tcPr>
            <w:tcW w:w="1963" w:type="dxa"/>
            <w:vAlign w:val="center"/>
          </w:tcPr>
          <w:p w:rsidRPr="0039391F" w:rsidR="00637920" w:rsidP="0067055B" w:rsidRDefault="00637920" w14:paraId="512A4C9F" w14:textId="77777777">
            <w:r w:rsidRPr="0039391F">
              <w:t>Before any publicity</w:t>
            </w:r>
          </w:p>
        </w:tc>
      </w:tr>
      <w:tr w:rsidRPr="0039391F" w:rsidR="00637920" w:rsidTr="0067055B" w14:paraId="55D7A273" w14:textId="77777777">
        <w:trPr>
          <w:trHeight w:val="300"/>
        </w:trPr>
        <w:tc>
          <w:tcPr>
            <w:tcW w:w="1154" w:type="dxa"/>
            <w:vAlign w:val="center"/>
          </w:tcPr>
          <w:p w:rsidRPr="0039391F" w:rsidR="00637920" w:rsidP="0067055B" w:rsidRDefault="00637920" w14:paraId="0FAD5F2F" w14:textId="77777777">
            <w:pPr>
              <w:rPr>
                <w:b/>
              </w:rPr>
            </w:pPr>
            <w:r w:rsidRPr="0039391F">
              <w:rPr>
                <w:b/>
                <w:bCs/>
              </w:rPr>
              <w:t>9. Event delivery</w:t>
            </w:r>
          </w:p>
        </w:tc>
        <w:tc>
          <w:tcPr>
            <w:tcW w:w="4295" w:type="dxa"/>
            <w:vAlign w:val="center"/>
          </w:tcPr>
          <w:p w:rsidRPr="0039391F" w:rsidR="00637920" w:rsidP="0067055B" w:rsidRDefault="00637920" w14:paraId="0929442D" w14:textId="77777777">
            <w:r w:rsidRPr="0039391F">
              <w:t>Implement all agreed conditions. Maintain order, enable respectful debate, and ensure lawful conduct. Contact Security (020 7040 3333) if needed.</w:t>
            </w:r>
          </w:p>
        </w:tc>
        <w:tc>
          <w:tcPr>
            <w:tcW w:w="1603" w:type="dxa"/>
            <w:vAlign w:val="center"/>
          </w:tcPr>
          <w:p w:rsidRPr="0039391F" w:rsidR="00637920" w:rsidP="0067055B" w:rsidRDefault="00637920" w14:paraId="0F292B5F" w14:textId="77777777">
            <w:r w:rsidRPr="0039391F">
              <w:t>Event Organiser &amp; stewards</w:t>
            </w:r>
          </w:p>
        </w:tc>
        <w:tc>
          <w:tcPr>
            <w:tcW w:w="1963" w:type="dxa"/>
            <w:vAlign w:val="center"/>
          </w:tcPr>
          <w:p w:rsidRPr="0039391F" w:rsidR="00637920" w:rsidP="0067055B" w:rsidRDefault="00637920" w14:paraId="397197C1" w14:textId="77777777">
            <w:r w:rsidRPr="0039391F">
              <w:t>During event</w:t>
            </w:r>
          </w:p>
        </w:tc>
      </w:tr>
      <w:tr w:rsidRPr="0039391F" w:rsidR="00637920" w:rsidTr="0067055B" w14:paraId="32046106" w14:textId="77777777">
        <w:trPr>
          <w:trHeight w:val="300"/>
        </w:trPr>
        <w:tc>
          <w:tcPr>
            <w:tcW w:w="1154" w:type="dxa"/>
            <w:vAlign w:val="center"/>
          </w:tcPr>
          <w:p w:rsidRPr="0039391F" w:rsidR="00637920" w:rsidP="0067055B" w:rsidRDefault="00637920" w14:paraId="4C7FFFBA" w14:textId="77777777">
            <w:pPr>
              <w:rPr>
                <w:b/>
              </w:rPr>
            </w:pPr>
            <w:r w:rsidRPr="0039391F">
              <w:rPr>
                <w:b/>
                <w:bCs/>
              </w:rPr>
              <w:t>10. Appeals</w:t>
            </w:r>
          </w:p>
        </w:tc>
        <w:tc>
          <w:tcPr>
            <w:tcW w:w="4295" w:type="dxa"/>
            <w:vAlign w:val="center"/>
          </w:tcPr>
          <w:p w:rsidRPr="0039391F" w:rsidR="00637920" w:rsidP="0067055B" w:rsidRDefault="00637920" w14:paraId="65825643" w14:textId="77777777">
            <w:r w:rsidRPr="0039391F">
              <w:t>If you disagree with the decision or imposed conditions, you may appeal in writing within 21 working days to the Designated Visiting Speaker Officer. The Appeal Panel will review the case.</w:t>
            </w:r>
          </w:p>
        </w:tc>
        <w:tc>
          <w:tcPr>
            <w:tcW w:w="1603" w:type="dxa"/>
            <w:vAlign w:val="center"/>
          </w:tcPr>
          <w:p w:rsidRPr="0039391F" w:rsidR="00637920" w:rsidP="0067055B" w:rsidRDefault="00637920" w14:paraId="5434446C" w14:textId="77777777">
            <w:r w:rsidRPr="0039391F">
              <w:t>Event Organiser</w:t>
            </w:r>
          </w:p>
        </w:tc>
        <w:tc>
          <w:tcPr>
            <w:tcW w:w="1963" w:type="dxa"/>
            <w:vAlign w:val="center"/>
          </w:tcPr>
          <w:p w:rsidRPr="0039391F" w:rsidR="00637920" w:rsidP="0067055B" w:rsidRDefault="00637920" w14:paraId="7431B547" w14:textId="77777777">
            <w:r w:rsidRPr="0039391F">
              <w:t>Within 21 working days of outcome</w:t>
            </w:r>
          </w:p>
        </w:tc>
      </w:tr>
    </w:tbl>
    <w:p w:rsidRPr="0039391F" w:rsidR="00637920" w:rsidP="00637920" w:rsidRDefault="00637920" w14:paraId="6D0B034F" w14:textId="77777777"/>
    <w:p w:rsidRPr="0039391F" w:rsidR="00637920" w:rsidP="00637920" w:rsidRDefault="00637920" w14:paraId="5A8AEFA0" w14:textId="77777777">
      <w:pPr>
        <w:rPr>
          <w:b/>
        </w:rPr>
      </w:pPr>
      <w:r w:rsidRPr="0039391F">
        <w:rPr>
          <w:b/>
        </w:rPr>
        <w:t>4. Key reminders</w:t>
      </w:r>
    </w:p>
    <w:p w:rsidRPr="0039391F" w:rsidR="00637920" w:rsidP="00637920" w:rsidRDefault="00637920" w14:paraId="1F17A5C4" w14:textId="77777777">
      <w:pPr>
        <w:numPr>
          <w:ilvl w:val="0"/>
          <w:numId w:val="3"/>
        </w:numPr>
        <w:spacing w:after="160"/>
      </w:pPr>
      <w:r w:rsidRPr="0039391F">
        <w:rPr>
          <w:b/>
          <w:bCs/>
        </w:rPr>
        <w:t>No publicity or ticketing</w:t>
      </w:r>
      <w:r w:rsidRPr="0039391F">
        <w:t xml:space="preserve"> until official written approval is received.</w:t>
      </w:r>
    </w:p>
    <w:p w:rsidRPr="0039391F" w:rsidR="00637920" w:rsidP="00637920" w:rsidRDefault="00637920" w14:paraId="693F2578" w14:textId="77777777">
      <w:pPr>
        <w:numPr>
          <w:ilvl w:val="0"/>
          <w:numId w:val="3"/>
        </w:numPr>
        <w:spacing w:after="160"/>
      </w:pPr>
      <w:r w:rsidRPr="0039391F">
        <w:t xml:space="preserve">Allow </w:t>
      </w:r>
      <w:r w:rsidRPr="0039391F">
        <w:rPr>
          <w:b/>
          <w:bCs/>
        </w:rPr>
        <w:t>at least 15 working days</w:t>
      </w:r>
      <w:r w:rsidRPr="0039391F">
        <w:t xml:space="preserve"> for processing; late submissions may not be accepted.</w:t>
      </w:r>
    </w:p>
    <w:p w:rsidRPr="0039391F" w:rsidR="00637920" w:rsidP="00637920" w:rsidRDefault="00637920" w14:paraId="368D618F" w14:textId="77777777">
      <w:pPr>
        <w:numPr>
          <w:ilvl w:val="0"/>
          <w:numId w:val="3"/>
        </w:numPr>
        <w:spacing w:after="160"/>
      </w:pPr>
      <w:r w:rsidRPr="0039391F">
        <w:t>Be open to respectful challenge — protest is permitted, disruption is not.</w:t>
      </w:r>
    </w:p>
    <w:p w:rsidRPr="0039391F" w:rsidR="00637920" w:rsidP="00637920" w:rsidRDefault="00637920" w14:paraId="68E4732E" w14:textId="77777777">
      <w:pPr>
        <w:numPr>
          <w:ilvl w:val="0"/>
          <w:numId w:val="3"/>
        </w:numPr>
        <w:spacing w:after="160"/>
      </w:pPr>
      <w:r w:rsidRPr="0039391F">
        <w:t xml:space="preserve">Breaches of this procedure may lead to </w:t>
      </w:r>
      <w:r w:rsidRPr="0039391F">
        <w:rPr>
          <w:b/>
          <w:bCs/>
        </w:rPr>
        <w:t>disciplinary action</w:t>
      </w:r>
      <w:r w:rsidRPr="0039391F">
        <w:t>.</w:t>
      </w:r>
    </w:p>
    <w:p w:rsidRPr="0039391F" w:rsidR="00637920" w:rsidP="00637920" w:rsidRDefault="00637920" w14:paraId="1F238973" w14:textId="77777777">
      <w:pPr>
        <w:numPr>
          <w:ilvl w:val="0"/>
          <w:numId w:val="3"/>
        </w:numPr>
        <w:spacing w:after="160"/>
      </w:pPr>
      <w:r w:rsidRPr="0039391F">
        <w:t>Keep all correspondence and approvals on record.</w:t>
      </w:r>
    </w:p>
    <w:p w:rsidRPr="0039391F" w:rsidR="00637920" w:rsidP="00637920" w:rsidRDefault="00637920" w14:paraId="315CBD2C" w14:textId="77777777">
      <w:pPr>
        <w:rPr>
          <w:b/>
        </w:rPr>
      </w:pPr>
      <w:r w:rsidRPr="0039391F">
        <w:rPr>
          <w:b/>
        </w:rPr>
        <w:t>5. Support and advice</w:t>
      </w:r>
    </w:p>
    <w:p w:rsidRPr="0039391F" w:rsidR="00637920" w:rsidP="00637920" w:rsidRDefault="00637920" w14:paraId="4DD203E5" w14:textId="77777777">
      <w:pPr>
        <w:numPr>
          <w:ilvl w:val="0"/>
          <w:numId w:val="5"/>
        </w:numPr>
        <w:spacing w:after="160"/>
      </w:pPr>
      <w:r w:rsidRPr="0039391F">
        <w:rPr>
          <w:b/>
          <w:bCs/>
        </w:rPr>
        <w:t>Freedom of Speech queries:</w:t>
      </w:r>
      <w:r w:rsidRPr="0039391F">
        <w:t xml:space="preserve"> </w:t>
      </w:r>
      <w:hyperlink r:id="rId8">
        <w:r w:rsidRPr="0039391F">
          <w:rPr>
            <w:rStyle w:val="Hyperlink"/>
          </w:rPr>
          <w:t>freedomofspeech@citystgeorges.ac.uk</w:t>
        </w:r>
      </w:hyperlink>
      <w:r w:rsidRPr="0039391F">
        <w:t xml:space="preserve">; </w:t>
      </w:r>
    </w:p>
    <w:p w:rsidRPr="0039391F" w:rsidR="00637920" w:rsidP="00637920" w:rsidRDefault="00637920" w14:paraId="0CEC49E7" w14:textId="77777777">
      <w:pPr>
        <w:pStyle w:val="Heading3"/>
      </w:pPr>
      <w:r w:rsidRPr="0039391F">
        <w:t>FAQs</w:t>
      </w:r>
    </w:p>
    <w:p w:rsidR="00637920" w:rsidP="00637920" w:rsidRDefault="00637920" w14:paraId="5FDBD0FF" w14:textId="77777777">
      <w:pPr>
        <w:pStyle w:val="Heading4"/>
      </w:pPr>
      <w:r w:rsidRPr="0039391F">
        <w:t>Do all guest speakers need approval?</w:t>
      </w:r>
    </w:p>
    <w:p w:rsidRPr="0039391F" w:rsidR="00637920" w:rsidP="00637920" w:rsidRDefault="00637920" w14:paraId="0EEDBBAE" w14:textId="77777777">
      <w:r w:rsidRPr="0039391F">
        <w:t xml:space="preserve">Yes, </w:t>
      </w:r>
      <w:bookmarkStart w:name="_Hlk211974660" w:id="1"/>
      <w:r w:rsidRPr="0039391F">
        <w:t xml:space="preserve">all non-university staff or students speaking at a university-affiliated event must go through the process, including online events.  </w:t>
      </w:r>
    </w:p>
    <w:p w:rsidRPr="0039391F" w:rsidR="00637920" w:rsidP="00637920" w:rsidRDefault="00637920" w14:paraId="5145AB0C" w14:textId="77777777">
      <w:r w:rsidRPr="0039391F">
        <w:t xml:space="preserve">This includes, but is not limited to, lectures, classes, and seminars, public events, meetings, exhibitions, marches, and/or performances, hosted at any University or Student Union premises, or </w:t>
      </w:r>
      <w:r w:rsidRPr="0039391F">
        <w:lastRenderedPageBreak/>
        <w:t xml:space="preserve">taking place in the University’s and/or the Students’ Union’s name.  </w:t>
      </w:r>
      <w:r w:rsidRPr="0039391F">
        <w:br/>
      </w:r>
      <w:r w:rsidRPr="0039391F">
        <w:br/>
      </w:r>
      <w:bookmarkStart w:name="_Hlk211974047" w:id="2"/>
      <w:r w:rsidRPr="0039391F">
        <w:t>The only exception to this is if the event (e.g. lectures, classes, seminars) forms part of an approved academic programme of study at the University</w:t>
      </w:r>
      <w:bookmarkEnd w:id="1"/>
      <w:r w:rsidRPr="0039391F">
        <w:t>.</w:t>
      </w:r>
      <w:bookmarkEnd w:id="2"/>
    </w:p>
    <w:p w:rsidR="00637920" w:rsidP="00637920" w:rsidRDefault="00637920" w14:paraId="78BFC4F8" w14:textId="77777777">
      <w:pPr>
        <w:pStyle w:val="Heading4"/>
      </w:pPr>
      <w:r w:rsidRPr="0039391F">
        <w:t>What if the speaker or topic might attract protest?</w:t>
      </w:r>
    </w:p>
    <w:p w:rsidRPr="0039391F" w:rsidR="00637920" w:rsidP="00637920" w:rsidRDefault="00637920" w14:paraId="6FF46796" w14:textId="77777777">
      <w:r w:rsidRPr="0039391F">
        <w:t>Lawful protest is permitted, but we have a duty to ensure events can proceed safely. The risk assessment stage will help plan proportionate mitigations.</w:t>
      </w:r>
    </w:p>
    <w:p w:rsidR="00637920" w:rsidP="00637920" w:rsidRDefault="00637920" w14:paraId="0E36CB53" w14:textId="77777777">
      <w:pPr>
        <w:pStyle w:val="Heading4"/>
      </w:pPr>
      <w:r w:rsidRPr="0039391F">
        <w:t>Can controversial speakers still be invited?</w:t>
      </w:r>
    </w:p>
    <w:p w:rsidRPr="0039391F" w:rsidR="00637920" w:rsidP="00637920" w:rsidRDefault="00637920" w14:paraId="6722DCEE" w14:textId="77777777">
      <w:r w:rsidRPr="0039391F">
        <w:t xml:space="preserve">Yes. The university will not refuse speakers based on lawful opinions alone. The test is whether the speech is </w:t>
      </w:r>
      <w:r w:rsidRPr="0039391F">
        <w:rPr>
          <w:b/>
          <w:bCs/>
        </w:rPr>
        <w:t>within the law</w:t>
      </w:r>
      <w:r w:rsidRPr="0039391F">
        <w:t>; the University will carefully consider whether the right to freedom of speech needs to be balanced against other legal obligations (such as maintaining public order and safety), and therefore whether restrictions are proportionate in the circumstances.</w:t>
      </w:r>
    </w:p>
    <w:p w:rsidR="00637920" w:rsidP="00637920" w:rsidRDefault="00637920" w14:paraId="3F8295FD" w14:textId="77777777">
      <w:pPr>
        <w:pStyle w:val="Heading4"/>
      </w:pPr>
      <w:r w:rsidRPr="0039391F">
        <w:t>Who decides if a speaker is approved?</w:t>
      </w:r>
    </w:p>
    <w:p w:rsidRPr="0039391F" w:rsidR="00637920" w:rsidP="00637920" w:rsidRDefault="00637920" w14:paraId="0FC0EA99" w14:textId="77777777">
      <w:r w:rsidRPr="0039391F">
        <w:t>The rule of thumb is that speakers should be allowed to speak. Most speakers will therefore be approved at the initial stage of consideration by the officer with delegated responsibility (School COO, PSD or Students’ Union). However, where a more nuanced balancing of legal rights is needed, the decision may be taken at a higher level by the Deputy President (Operations).</w:t>
      </w:r>
    </w:p>
    <w:p w:rsidR="00637920" w:rsidP="00637920" w:rsidRDefault="00637920" w14:paraId="76F4A155" w14:textId="77777777">
      <w:pPr>
        <w:pStyle w:val="Heading4"/>
      </w:pPr>
      <w:r w:rsidRPr="0039391F">
        <w:t>Can I appeal a decision?</w:t>
      </w:r>
    </w:p>
    <w:p w:rsidRPr="0039391F" w:rsidR="00637920" w:rsidP="00637920" w:rsidRDefault="00637920" w14:paraId="21DE2B19" w14:textId="77777777">
      <w:r w:rsidRPr="0039391F">
        <w:t>Yes. There is an appeal route within the Code of Practice. Details and timescales are outlined in the code.</w:t>
      </w:r>
    </w:p>
    <w:p w:rsidR="00637920" w:rsidP="00637920" w:rsidRDefault="00637920" w14:paraId="6328233D" w14:textId="77777777">
      <w:pPr>
        <w:pStyle w:val="Heading4"/>
      </w:pPr>
      <w:r w:rsidRPr="0039391F">
        <w:t>What happens if I don’t follow the process?</w:t>
      </w:r>
    </w:p>
    <w:p w:rsidRPr="0039391F" w:rsidR="00637920" w:rsidP="00637920" w:rsidRDefault="00637920" w14:paraId="15DCCE1A" w14:textId="77777777">
      <w:r w:rsidRPr="0039391F">
        <w:t>Where permission is not sought for an event, it will not be authorised by the University and may not proceed.</w:t>
      </w:r>
    </w:p>
    <w:p w:rsidR="00637920" w:rsidP="00637920" w:rsidRDefault="00637920" w14:paraId="52DB8759" w14:textId="77777777">
      <w:pPr>
        <w:pStyle w:val="Heading4"/>
      </w:pPr>
      <w:r w:rsidRPr="0039391F">
        <w:t>Who can help me?</w:t>
      </w:r>
    </w:p>
    <w:p w:rsidRPr="0039391F" w:rsidR="00637920" w:rsidP="00637920" w:rsidRDefault="00637920" w14:paraId="4AE43B3F" w14:textId="77777777">
      <w:r w:rsidRPr="0039391F">
        <w:t xml:space="preserve">Contact </w:t>
      </w:r>
      <w:hyperlink w:history="1" r:id="rId9">
        <w:r w:rsidRPr="0039391F">
          <w:rPr>
            <w:rStyle w:val="Hyperlink"/>
          </w:rPr>
          <w:t>freedomofspeech@citystgeorges.ac.uk</w:t>
        </w:r>
      </w:hyperlink>
      <w:r w:rsidRPr="0039391F">
        <w:t xml:space="preserve"> for advice</w:t>
      </w:r>
    </w:p>
    <w:p w:rsidRPr="0039391F" w:rsidR="00637920" w:rsidP="00637920" w:rsidRDefault="00637920" w14:paraId="30C1B887" w14:textId="77777777"/>
    <w:p w:rsidR="00637920" w:rsidP="00637920" w:rsidRDefault="00637920" w14:paraId="12D0E850" w14:textId="77777777"/>
    <w:p w:rsidRPr="00C34540" w:rsidR="00C34540" w:rsidP="00C34540" w:rsidRDefault="00C34540" w14:paraId="4C677159" w14:textId="77777777"/>
    <w:sectPr w:rsidRPr="00C34540" w:rsidR="00C34540" w:rsidSect="00D9148F">
      <w:headerReference w:type="firs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6C5A" w14:textId="65E62B3F" w:rsidR="00FD25F6" w:rsidRDefault="00FD25F6">
    <w:pPr>
      <w:pStyle w:val="Header"/>
    </w:pPr>
    <w:r>
      <w:rPr>
        <w:noProof/>
      </w:rPr>
      <w:drawing>
        <wp:anchor distT="0" distB="0" distL="114300" distR="114300" simplePos="0" relativeHeight="251658240" behindDoc="0" locked="0" layoutInCell="1" allowOverlap="1" wp14:anchorId="03AD7F20" wp14:editId="50906E66">
          <wp:simplePos x="0" y="0"/>
          <wp:positionH relativeFrom="page">
            <wp:posOffset>-13970</wp:posOffset>
          </wp:positionH>
          <wp:positionV relativeFrom="paragraph">
            <wp:posOffset>-445135</wp:posOffset>
          </wp:positionV>
          <wp:extent cx="1861820" cy="1861820"/>
          <wp:effectExtent l="0" t="0" r="5080" b="5080"/>
          <wp:wrapNone/>
          <wp:docPr id="38" name="Picture 38" descr="City St George's,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St George's, University of Lond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665A"/>
    <w:multiLevelType w:val="multilevel"/>
    <w:tmpl w:val="C92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D356"/>
    <w:multiLevelType w:val="hybridMultilevel"/>
    <w:tmpl w:val="FFFFFFFF"/>
    <w:lvl w:ilvl="0" w:tplc="F5A8C6F2">
      <w:start w:val="1"/>
      <w:numFmt w:val="bullet"/>
      <w:lvlText w:val=""/>
      <w:lvlJc w:val="left"/>
      <w:pPr>
        <w:ind w:left="720" w:hanging="360"/>
      </w:pPr>
      <w:rPr>
        <w:rFonts w:ascii="Symbol" w:hAnsi="Symbol" w:hint="default"/>
      </w:rPr>
    </w:lvl>
    <w:lvl w:ilvl="1" w:tplc="B9AC7F46">
      <w:start w:val="1"/>
      <w:numFmt w:val="bullet"/>
      <w:lvlText w:val="o"/>
      <w:lvlJc w:val="left"/>
      <w:pPr>
        <w:ind w:left="1440" w:hanging="360"/>
      </w:pPr>
      <w:rPr>
        <w:rFonts w:ascii="Courier New" w:hAnsi="Courier New" w:hint="default"/>
      </w:rPr>
    </w:lvl>
    <w:lvl w:ilvl="2" w:tplc="375C0EA4">
      <w:start w:val="1"/>
      <w:numFmt w:val="bullet"/>
      <w:lvlText w:val=""/>
      <w:lvlJc w:val="left"/>
      <w:pPr>
        <w:ind w:left="2160" w:hanging="360"/>
      </w:pPr>
      <w:rPr>
        <w:rFonts w:ascii="Wingdings" w:hAnsi="Wingdings" w:hint="default"/>
      </w:rPr>
    </w:lvl>
    <w:lvl w:ilvl="3" w:tplc="003C4C42">
      <w:start w:val="1"/>
      <w:numFmt w:val="bullet"/>
      <w:lvlText w:val=""/>
      <w:lvlJc w:val="left"/>
      <w:pPr>
        <w:ind w:left="2880" w:hanging="360"/>
      </w:pPr>
      <w:rPr>
        <w:rFonts w:ascii="Symbol" w:hAnsi="Symbol" w:hint="default"/>
      </w:rPr>
    </w:lvl>
    <w:lvl w:ilvl="4" w:tplc="F6B29784">
      <w:start w:val="1"/>
      <w:numFmt w:val="bullet"/>
      <w:lvlText w:val="o"/>
      <w:lvlJc w:val="left"/>
      <w:pPr>
        <w:ind w:left="3600" w:hanging="360"/>
      </w:pPr>
      <w:rPr>
        <w:rFonts w:ascii="Courier New" w:hAnsi="Courier New" w:hint="default"/>
      </w:rPr>
    </w:lvl>
    <w:lvl w:ilvl="5" w:tplc="1362DDDC">
      <w:start w:val="1"/>
      <w:numFmt w:val="bullet"/>
      <w:lvlText w:val=""/>
      <w:lvlJc w:val="left"/>
      <w:pPr>
        <w:ind w:left="4320" w:hanging="360"/>
      </w:pPr>
      <w:rPr>
        <w:rFonts w:ascii="Wingdings" w:hAnsi="Wingdings" w:hint="default"/>
      </w:rPr>
    </w:lvl>
    <w:lvl w:ilvl="6" w:tplc="E5F0A7B4">
      <w:start w:val="1"/>
      <w:numFmt w:val="bullet"/>
      <w:lvlText w:val=""/>
      <w:lvlJc w:val="left"/>
      <w:pPr>
        <w:ind w:left="5040" w:hanging="360"/>
      </w:pPr>
      <w:rPr>
        <w:rFonts w:ascii="Symbol" w:hAnsi="Symbol" w:hint="default"/>
      </w:rPr>
    </w:lvl>
    <w:lvl w:ilvl="7" w:tplc="3ADA415A">
      <w:start w:val="1"/>
      <w:numFmt w:val="bullet"/>
      <w:lvlText w:val="o"/>
      <w:lvlJc w:val="left"/>
      <w:pPr>
        <w:ind w:left="5760" w:hanging="360"/>
      </w:pPr>
      <w:rPr>
        <w:rFonts w:ascii="Courier New" w:hAnsi="Courier New" w:hint="default"/>
      </w:rPr>
    </w:lvl>
    <w:lvl w:ilvl="8" w:tplc="84040822">
      <w:start w:val="1"/>
      <w:numFmt w:val="bullet"/>
      <w:lvlText w:val=""/>
      <w:lvlJc w:val="left"/>
      <w:pPr>
        <w:ind w:left="6480" w:hanging="360"/>
      </w:pPr>
      <w:rPr>
        <w:rFonts w:ascii="Wingdings" w:hAnsi="Wingdings" w:hint="default"/>
      </w:rPr>
    </w:lvl>
  </w:abstractNum>
  <w:abstractNum w:abstractNumId="2" w15:restartNumberingAfterBreak="0">
    <w:nsid w:val="3216EC47"/>
    <w:multiLevelType w:val="hybridMultilevel"/>
    <w:tmpl w:val="FFFFFFFF"/>
    <w:lvl w:ilvl="0" w:tplc="DDAE1556">
      <w:start w:val="1"/>
      <w:numFmt w:val="bullet"/>
      <w:lvlText w:val=""/>
      <w:lvlJc w:val="left"/>
      <w:pPr>
        <w:ind w:left="720" w:hanging="360"/>
      </w:pPr>
      <w:rPr>
        <w:rFonts w:ascii="Symbol" w:hAnsi="Symbol" w:hint="default"/>
      </w:rPr>
    </w:lvl>
    <w:lvl w:ilvl="1" w:tplc="E0780B84">
      <w:start w:val="1"/>
      <w:numFmt w:val="bullet"/>
      <w:lvlText w:val="o"/>
      <w:lvlJc w:val="left"/>
      <w:pPr>
        <w:ind w:left="1440" w:hanging="360"/>
      </w:pPr>
      <w:rPr>
        <w:rFonts w:ascii="Courier New" w:hAnsi="Courier New" w:hint="default"/>
      </w:rPr>
    </w:lvl>
    <w:lvl w:ilvl="2" w:tplc="4AF05F2E">
      <w:start w:val="1"/>
      <w:numFmt w:val="bullet"/>
      <w:lvlText w:val=""/>
      <w:lvlJc w:val="left"/>
      <w:pPr>
        <w:ind w:left="2160" w:hanging="360"/>
      </w:pPr>
      <w:rPr>
        <w:rFonts w:ascii="Wingdings" w:hAnsi="Wingdings" w:hint="default"/>
      </w:rPr>
    </w:lvl>
    <w:lvl w:ilvl="3" w:tplc="E06C2242">
      <w:start w:val="1"/>
      <w:numFmt w:val="bullet"/>
      <w:lvlText w:val=""/>
      <w:lvlJc w:val="left"/>
      <w:pPr>
        <w:ind w:left="2880" w:hanging="360"/>
      </w:pPr>
      <w:rPr>
        <w:rFonts w:ascii="Symbol" w:hAnsi="Symbol" w:hint="default"/>
      </w:rPr>
    </w:lvl>
    <w:lvl w:ilvl="4" w:tplc="BBEA79E4">
      <w:start w:val="1"/>
      <w:numFmt w:val="bullet"/>
      <w:lvlText w:val="o"/>
      <w:lvlJc w:val="left"/>
      <w:pPr>
        <w:ind w:left="3600" w:hanging="360"/>
      </w:pPr>
      <w:rPr>
        <w:rFonts w:ascii="Courier New" w:hAnsi="Courier New" w:hint="default"/>
      </w:rPr>
    </w:lvl>
    <w:lvl w:ilvl="5" w:tplc="80FA55E4">
      <w:start w:val="1"/>
      <w:numFmt w:val="bullet"/>
      <w:lvlText w:val=""/>
      <w:lvlJc w:val="left"/>
      <w:pPr>
        <w:ind w:left="4320" w:hanging="360"/>
      </w:pPr>
      <w:rPr>
        <w:rFonts w:ascii="Wingdings" w:hAnsi="Wingdings" w:hint="default"/>
      </w:rPr>
    </w:lvl>
    <w:lvl w:ilvl="6" w:tplc="9E86ED08">
      <w:start w:val="1"/>
      <w:numFmt w:val="bullet"/>
      <w:lvlText w:val=""/>
      <w:lvlJc w:val="left"/>
      <w:pPr>
        <w:ind w:left="5040" w:hanging="360"/>
      </w:pPr>
      <w:rPr>
        <w:rFonts w:ascii="Symbol" w:hAnsi="Symbol" w:hint="default"/>
      </w:rPr>
    </w:lvl>
    <w:lvl w:ilvl="7" w:tplc="E2BCFDBC">
      <w:start w:val="1"/>
      <w:numFmt w:val="bullet"/>
      <w:lvlText w:val="o"/>
      <w:lvlJc w:val="left"/>
      <w:pPr>
        <w:ind w:left="5760" w:hanging="360"/>
      </w:pPr>
      <w:rPr>
        <w:rFonts w:ascii="Courier New" w:hAnsi="Courier New" w:hint="default"/>
      </w:rPr>
    </w:lvl>
    <w:lvl w:ilvl="8" w:tplc="B73AB568">
      <w:start w:val="1"/>
      <w:numFmt w:val="bullet"/>
      <w:lvlText w:val=""/>
      <w:lvlJc w:val="left"/>
      <w:pPr>
        <w:ind w:left="6480" w:hanging="360"/>
      </w:pPr>
      <w:rPr>
        <w:rFonts w:ascii="Wingdings" w:hAnsi="Wingdings" w:hint="default"/>
      </w:rPr>
    </w:lvl>
  </w:abstractNum>
  <w:abstractNum w:abstractNumId="3" w15:restartNumberingAfterBreak="0">
    <w:nsid w:val="43F5C1B8"/>
    <w:multiLevelType w:val="hybridMultilevel"/>
    <w:tmpl w:val="FFFFFFFF"/>
    <w:lvl w:ilvl="0" w:tplc="039CBC9C">
      <w:start w:val="1"/>
      <w:numFmt w:val="bullet"/>
      <w:lvlText w:val=""/>
      <w:lvlJc w:val="left"/>
      <w:pPr>
        <w:ind w:left="720" w:hanging="360"/>
      </w:pPr>
      <w:rPr>
        <w:rFonts w:ascii="Symbol" w:hAnsi="Symbol" w:hint="default"/>
      </w:rPr>
    </w:lvl>
    <w:lvl w:ilvl="1" w:tplc="272AD556">
      <w:start w:val="1"/>
      <w:numFmt w:val="bullet"/>
      <w:lvlText w:val="o"/>
      <w:lvlJc w:val="left"/>
      <w:pPr>
        <w:ind w:left="1440" w:hanging="360"/>
      </w:pPr>
      <w:rPr>
        <w:rFonts w:ascii="Courier New" w:hAnsi="Courier New" w:hint="default"/>
      </w:rPr>
    </w:lvl>
    <w:lvl w:ilvl="2" w:tplc="FA4A898E">
      <w:start w:val="1"/>
      <w:numFmt w:val="bullet"/>
      <w:lvlText w:val=""/>
      <w:lvlJc w:val="left"/>
      <w:pPr>
        <w:ind w:left="2160" w:hanging="360"/>
      </w:pPr>
      <w:rPr>
        <w:rFonts w:ascii="Wingdings" w:hAnsi="Wingdings" w:hint="default"/>
      </w:rPr>
    </w:lvl>
    <w:lvl w:ilvl="3" w:tplc="798C8BC0">
      <w:start w:val="1"/>
      <w:numFmt w:val="bullet"/>
      <w:lvlText w:val=""/>
      <w:lvlJc w:val="left"/>
      <w:pPr>
        <w:ind w:left="2880" w:hanging="360"/>
      </w:pPr>
      <w:rPr>
        <w:rFonts w:ascii="Symbol" w:hAnsi="Symbol" w:hint="default"/>
      </w:rPr>
    </w:lvl>
    <w:lvl w:ilvl="4" w:tplc="D1D6847A">
      <w:start w:val="1"/>
      <w:numFmt w:val="bullet"/>
      <w:lvlText w:val="o"/>
      <w:lvlJc w:val="left"/>
      <w:pPr>
        <w:ind w:left="3600" w:hanging="360"/>
      </w:pPr>
      <w:rPr>
        <w:rFonts w:ascii="Courier New" w:hAnsi="Courier New" w:hint="default"/>
      </w:rPr>
    </w:lvl>
    <w:lvl w:ilvl="5" w:tplc="C602AD38">
      <w:start w:val="1"/>
      <w:numFmt w:val="bullet"/>
      <w:lvlText w:val=""/>
      <w:lvlJc w:val="left"/>
      <w:pPr>
        <w:ind w:left="4320" w:hanging="360"/>
      </w:pPr>
      <w:rPr>
        <w:rFonts w:ascii="Wingdings" w:hAnsi="Wingdings" w:hint="default"/>
      </w:rPr>
    </w:lvl>
    <w:lvl w:ilvl="6" w:tplc="C652EEBE">
      <w:start w:val="1"/>
      <w:numFmt w:val="bullet"/>
      <w:lvlText w:val=""/>
      <w:lvlJc w:val="left"/>
      <w:pPr>
        <w:ind w:left="5040" w:hanging="360"/>
      </w:pPr>
      <w:rPr>
        <w:rFonts w:ascii="Symbol" w:hAnsi="Symbol" w:hint="default"/>
      </w:rPr>
    </w:lvl>
    <w:lvl w:ilvl="7" w:tplc="8D242548">
      <w:start w:val="1"/>
      <w:numFmt w:val="bullet"/>
      <w:lvlText w:val="o"/>
      <w:lvlJc w:val="left"/>
      <w:pPr>
        <w:ind w:left="5760" w:hanging="360"/>
      </w:pPr>
      <w:rPr>
        <w:rFonts w:ascii="Courier New" w:hAnsi="Courier New" w:hint="default"/>
      </w:rPr>
    </w:lvl>
    <w:lvl w:ilvl="8" w:tplc="A2203842">
      <w:start w:val="1"/>
      <w:numFmt w:val="bullet"/>
      <w:lvlText w:val=""/>
      <w:lvlJc w:val="left"/>
      <w:pPr>
        <w:ind w:left="6480" w:hanging="360"/>
      </w:pPr>
      <w:rPr>
        <w:rFonts w:ascii="Wingdings" w:hAnsi="Wingdings" w:hint="default"/>
      </w:rPr>
    </w:lvl>
  </w:abstractNum>
  <w:abstractNum w:abstractNumId="4" w15:restartNumberingAfterBreak="0">
    <w:nsid w:val="471FD0AC"/>
    <w:multiLevelType w:val="hybridMultilevel"/>
    <w:tmpl w:val="FFFFFFFF"/>
    <w:lvl w:ilvl="0" w:tplc="8D265E34">
      <w:start w:val="1"/>
      <w:numFmt w:val="bullet"/>
      <w:lvlText w:val=""/>
      <w:lvlJc w:val="left"/>
      <w:pPr>
        <w:ind w:left="720" w:hanging="360"/>
      </w:pPr>
      <w:rPr>
        <w:rFonts w:ascii="Symbol" w:hAnsi="Symbol" w:hint="default"/>
      </w:rPr>
    </w:lvl>
    <w:lvl w:ilvl="1" w:tplc="8F26213C">
      <w:start w:val="1"/>
      <w:numFmt w:val="bullet"/>
      <w:lvlText w:val="o"/>
      <w:lvlJc w:val="left"/>
      <w:pPr>
        <w:ind w:left="1440" w:hanging="360"/>
      </w:pPr>
      <w:rPr>
        <w:rFonts w:ascii="Courier New" w:hAnsi="Courier New" w:hint="default"/>
      </w:rPr>
    </w:lvl>
    <w:lvl w:ilvl="2" w:tplc="525C126C">
      <w:start w:val="1"/>
      <w:numFmt w:val="bullet"/>
      <w:lvlText w:val=""/>
      <w:lvlJc w:val="left"/>
      <w:pPr>
        <w:ind w:left="2160" w:hanging="360"/>
      </w:pPr>
      <w:rPr>
        <w:rFonts w:ascii="Wingdings" w:hAnsi="Wingdings" w:hint="default"/>
      </w:rPr>
    </w:lvl>
    <w:lvl w:ilvl="3" w:tplc="21F8809A">
      <w:start w:val="1"/>
      <w:numFmt w:val="bullet"/>
      <w:lvlText w:val=""/>
      <w:lvlJc w:val="left"/>
      <w:pPr>
        <w:ind w:left="2880" w:hanging="360"/>
      </w:pPr>
      <w:rPr>
        <w:rFonts w:ascii="Symbol" w:hAnsi="Symbol" w:hint="default"/>
      </w:rPr>
    </w:lvl>
    <w:lvl w:ilvl="4" w:tplc="F19A4B0E">
      <w:start w:val="1"/>
      <w:numFmt w:val="bullet"/>
      <w:lvlText w:val="o"/>
      <w:lvlJc w:val="left"/>
      <w:pPr>
        <w:ind w:left="3600" w:hanging="360"/>
      </w:pPr>
      <w:rPr>
        <w:rFonts w:ascii="Courier New" w:hAnsi="Courier New" w:hint="default"/>
      </w:rPr>
    </w:lvl>
    <w:lvl w:ilvl="5" w:tplc="D44AC2A6">
      <w:start w:val="1"/>
      <w:numFmt w:val="bullet"/>
      <w:lvlText w:val=""/>
      <w:lvlJc w:val="left"/>
      <w:pPr>
        <w:ind w:left="4320" w:hanging="360"/>
      </w:pPr>
      <w:rPr>
        <w:rFonts w:ascii="Wingdings" w:hAnsi="Wingdings" w:hint="default"/>
      </w:rPr>
    </w:lvl>
    <w:lvl w:ilvl="6" w:tplc="D946EF8A">
      <w:start w:val="1"/>
      <w:numFmt w:val="bullet"/>
      <w:lvlText w:val=""/>
      <w:lvlJc w:val="left"/>
      <w:pPr>
        <w:ind w:left="5040" w:hanging="360"/>
      </w:pPr>
      <w:rPr>
        <w:rFonts w:ascii="Symbol" w:hAnsi="Symbol" w:hint="default"/>
      </w:rPr>
    </w:lvl>
    <w:lvl w:ilvl="7" w:tplc="FF225AC4">
      <w:start w:val="1"/>
      <w:numFmt w:val="bullet"/>
      <w:lvlText w:val="o"/>
      <w:lvlJc w:val="left"/>
      <w:pPr>
        <w:ind w:left="5760" w:hanging="360"/>
      </w:pPr>
      <w:rPr>
        <w:rFonts w:ascii="Courier New" w:hAnsi="Courier New" w:hint="default"/>
      </w:rPr>
    </w:lvl>
    <w:lvl w:ilvl="8" w:tplc="66B2165E">
      <w:start w:val="1"/>
      <w:numFmt w:val="bullet"/>
      <w:lvlText w:val=""/>
      <w:lvlJc w:val="left"/>
      <w:pPr>
        <w:ind w:left="6480" w:hanging="360"/>
      </w:pPr>
      <w:rPr>
        <w:rFonts w:ascii="Wingdings" w:hAnsi="Wingdings" w:hint="default"/>
      </w:rPr>
    </w:lvl>
  </w:abstractNum>
  <w:abstractNum w:abstractNumId="5" w15:restartNumberingAfterBreak="0">
    <w:nsid w:val="4D2DFDC9"/>
    <w:multiLevelType w:val="hybridMultilevel"/>
    <w:tmpl w:val="FFFFFFFF"/>
    <w:lvl w:ilvl="0" w:tplc="0D32ACAA">
      <w:start w:val="1"/>
      <w:numFmt w:val="bullet"/>
      <w:lvlText w:val=""/>
      <w:lvlJc w:val="left"/>
      <w:pPr>
        <w:ind w:left="720" w:hanging="360"/>
      </w:pPr>
      <w:rPr>
        <w:rFonts w:ascii="Symbol" w:hAnsi="Symbol" w:hint="default"/>
      </w:rPr>
    </w:lvl>
    <w:lvl w:ilvl="1" w:tplc="A74698CC">
      <w:start w:val="1"/>
      <w:numFmt w:val="bullet"/>
      <w:lvlText w:val="o"/>
      <w:lvlJc w:val="left"/>
      <w:pPr>
        <w:ind w:left="1440" w:hanging="360"/>
      </w:pPr>
      <w:rPr>
        <w:rFonts w:ascii="Courier New" w:hAnsi="Courier New" w:hint="default"/>
      </w:rPr>
    </w:lvl>
    <w:lvl w:ilvl="2" w:tplc="606A4D0A">
      <w:start w:val="1"/>
      <w:numFmt w:val="bullet"/>
      <w:lvlText w:val=""/>
      <w:lvlJc w:val="left"/>
      <w:pPr>
        <w:ind w:left="2160" w:hanging="360"/>
      </w:pPr>
      <w:rPr>
        <w:rFonts w:ascii="Wingdings" w:hAnsi="Wingdings" w:hint="default"/>
      </w:rPr>
    </w:lvl>
    <w:lvl w:ilvl="3" w:tplc="FFD42AAC">
      <w:start w:val="1"/>
      <w:numFmt w:val="bullet"/>
      <w:lvlText w:val=""/>
      <w:lvlJc w:val="left"/>
      <w:pPr>
        <w:ind w:left="2880" w:hanging="360"/>
      </w:pPr>
      <w:rPr>
        <w:rFonts w:ascii="Symbol" w:hAnsi="Symbol" w:hint="default"/>
      </w:rPr>
    </w:lvl>
    <w:lvl w:ilvl="4" w:tplc="6E1EE766">
      <w:start w:val="1"/>
      <w:numFmt w:val="bullet"/>
      <w:lvlText w:val="o"/>
      <w:lvlJc w:val="left"/>
      <w:pPr>
        <w:ind w:left="3600" w:hanging="360"/>
      </w:pPr>
      <w:rPr>
        <w:rFonts w:ascii="Courier New" w:hAnsi="Courier New" w:hint="default"/>
      </w:rPr>
    </w:lvl>
    <w:lvl w:ilvl="5" w:tplc="F4223C6C">
      <w:start w:val="1"/>
      <w:numFmt w:val="bullet"/>
      <w:lvlText w:val=""/>
      <w:lvlJc w:val="left"/>
      <w:pPr>
        <w:ind w:left="4320" w:hanging="360"/>
      </w:pPr>
      <w:rPr>
        <w:rFonts w:ascii="Wingdings" w:hAnsi="Wingdings" w:hint="default"/>
      </w:rPr>
    </w:lvl>
    <w:lvl w:ilvl="6" w:tplc="4FB42BDC">
      <w:start w:val="1"/>
      <w:numFmt w:val="bullet"/>
      <w:lvlText w:val=""/>
      <w:lvlJc w:val="left"/>
      <w:pPr>
        <w:ind w:left="5040" w:hanging="360"/>
      </w:pPr>
      <w:rPr>
        <w:rFonts w:ascii="Symbol" w:hAnsi="Symbol" w:hint="default"/>
      </w:rPr>
    </w:lvl>
    <w:lvl w:ilvl="7" w:tplc="E1A04976">
      <w:start w:val="1"/>
      <w:numFmt w:val="bullet"/>
      <w:lvlText w:val="o"/>
      <w:lvlJc w:val="left"/>
      <w:pPr>
        <w:ind w:left="5760" w:hanging="360"/>
      </w:pPr>
      <w:rPr>
        <w:rFonts w:ascii="Courier New" w:hAnsi="Courier New" w:hint="default"/>
      </w:rPr>
    </w:lvl>
    <w:lvl w:ilvl="8" w:tplc="BD74A1E0">
      <w:start w:val="1"/>
      <w:numFmt w:val="bullet"/>
      <w:lvlText w:val=""/>
      <w:lvlJc w:val="left"/>
      <w:pPr>
        <w:ind w:left="6480" w:hanging="360"/>
      </w:pPr>
      <w:rPr>
        <w:rFonts w:ascii="Wingdings" w:hAnsi="Wingdings" w:hint="default"/>
      </w:rPr>
    </w:lvl>
  </w:abstractNum>
  <w:abstractNum w:abstractNumId="6" w15:restartNumberingAfterBreak="0">
    <w:nsid w:val="6C33D874"/>
    <w:multiLevelType w:val="hybridMultilevel"/>
    <w:tmpl w:val="FFFFFFFF"/>
    <w:lvl w:ilvl="0" w:tplc="8A9E6EA6">
      <w:start w:val="1"/>
      <w:numFmt w:val="bullet"/>
      <w:lvlText w:val=""/>
      <w:lvlJc w:val="left"/>
      <w:pPr>
        <w:ind w:left="720" w:hanging="360"/>
      </w:pPr>
      <w:rPr>
        <w:rFonts w:ascii="Symbol" w:hAnsi="Symbol" w:hint="default"/>
      </w:rPr>
    </w:lvl>
    <w:lvl w:ilvl="1" w:tplc="67F81874">
      <w:start w:val="1"/>
      <w:numFmt w:val="bullet"/>
      <w:lvlText w:val="o"/>
      <w:lvlJc w:val="left"/>
      <w:pPr>
        <w:ind w:left="1440" w:hanging="360"/>
      </w:pPr>
      <w:rPr>
        <w:rFonts w:ascii="Courier New" w:hAnsi="Courier New" w:hint="default"/>
      </w:rPr>
    </w:lvl>
    <w:lvl w:ilvl="2" w:tplc="99DE59B2">
      <w:start w:val="1"/>
      <w:numFmt w:val="bullet"/>
      <w:lvlText w:val=""/>
      <w:lvlJc w:val="left"/>
      <w:pPr>
        <w:ind w:left="2160" w:hanging="360"/>
      </w:pPr>
      <w:rPr>
        <w:rFonts w:ascii="Wingdings" w:hAnsi="Wingdings" w:hint="default"/>
      </w:rPr>
    </w:lvl>
    <w:lvl w:ilvl="3" w:tplc="6B203044">
      <w:start w:val="1"/>
      <w:numFmt w:val="bullet"/>
      <w:lvlText w:val=""/>
      <w:lvlJc w:val="left"/>
      <w:pPr>
        <w:ind w:left="2880" w:hanging="360"/>
      </w:pPr>
      <w:rPr>
        <w:rFonts w:ascii="Symbol" w:hAnsi="Symbol" w:hint="default"/>
      </w:rPr>
    </w:lvl>
    <w:lvl w:ilvl="4" w:tplc="F3FA64F0">
      <w:start w:val="1"/>
      <w:numFmt w:val="bullet"/>
      <w:lvlText w:val="o"/>
      <w:lvlJc w:val="left"/>
      <w:pPr>
        <w:ind w:left="3600" w:hanging="360"/>
      </w:pPr>
      <w:rPr>
        <w:rFonts w:ascii="Courier New" w:hAnsi="Courier New" w:hint="default"/>
      </w:rPr>
    </w:lvl>
    <w:lvl w:ilvl="5" w:tplc="DDA6A568">
      <w:start w:val="1"/>
      <w:numFmt w:val="bullet"/>
      <w:lvlText w:val=""/>
      <w:lvlJc w:val="left"/>
      <w:pPr>
        <w:ind w:left="4320" w:hanging="360"/>
      </w:pPr>
      <w:rPr>
        <w:rFonts w:ascii="Wingdings" w:hAnsi="Wingdings" w:hint="default"/>
      </w:rPr>
    </w:lvl>
    <w:lvl w:ilvl="6" w:tplc="FBE64846">
      <w:start w:val="1"/>
      <w:numFmt w:val="bullet"/>
      <w:lvlText w:val=""/>
      <w:lvlJc w:val="left"/>
      <w:pPr>
        <w:ind w:left="5040" w:hanging="360"/>
      </w:pPr>
      <w:rPr>
        <w:rFonts w:ascii="Symbol" w:hAnsi="Symbol" w:hint="default"/>
      </w:rPr>
    </w:lvl>
    <w:lvl w:ilvl="7" w:tplc="F3989998">
      <w:start w:val="1"/>
      <w:numFmt w:val="bullet"/>
      <w:lvlText w:val="o"/>
      <w:lvlJc w:val="left"/>
      <w:pPr>
        <w:ind w:left="5760" w:hanging="360"/>
      </w:pPr>
      <w:rPr>
        <w:rFonts w:ascii="Courier New" w:hAnsi="Courier New" w:hint="default"/>
      </w:rPr>
    </w:lvl>
    <w:lvl w:ilvl="8" w:tplc="E8EC52D8">
      <w:start w:val="1"/>
      <w:numFmt w:val="bullet"/>
      <w:lvlText w:val=""/>
      <w:lvlJc w:val="left"/>
      <w:pPr>
        <w:ind w:left="6480" w:hanging="360"/>
      </w:pPr>
      <w:rPr>
        <w:rFonts w:ascii="Wingdings" w:hAnsi="Wingdings" w:hint="default"/>
      </w:rPr>
    </w:lvl>
  </w:abstractNum>
  <w:abstractNum w:abstractNumId="7" w15:restartNumberingAfterBreak="0">
    <w:nsid w:val="7936D4C6"/>
    <w:multiLevelType w:val="hybridMultilevel"/>
    <w:tmpl w:val="FFFFFFFF"/>
    <w:lvl w:ilvl="0" w:tplc="0568DF82">
      <w:start w:val="1"/>
      <w:numFmt w:val="bullet"/>
      <w:lvlText w:val=""/>
      <w:lvlJc w:val="left"/>
      <w:pPr>
        <w:ind w:left="720" w:hanging="360"/>
      </w:pPr>
      <w:rPr>
        <w:rFonts w:ascii="Symbol" w:hAnsi="Symbol" w:hint="default"/>
      </w:rPr>
    </w:lvl>
    <w:lvl w:ilvl="1" w:tplc="1808440E">
      <w:start w:val="1"/>
      <w:numFmt w:val="bullet"/>
      <w:lvlText w:val="o"/>
      <w:lvlJc w:val="left"/>
      <w:pPr>
        <w:ind w:left="1440" w:hanging="360"/>
      </w:pPr>
      <w:rPr>
        <w:rFonts w:ascii="Courier New" w:hAnsi="Courier New" w:hint="default"/>
      </w:rPr>
    </w:lvl>
    <w:lvl w:ilvl="2" w:tplc="6400F332">
      <w:start w:val="1"/>
      <w:numFmt w:val="bullet"/>
      <w:lvlText w:val=""/>
      <w:lvlJc w:val="left"/>
      <w:pPr>
        <w:ind w:left="2160" w:hanging="360"/>
      </w:pPr>
      <w:rPr>
        <w:rFonts w:ascii="Wingdings" w:hAnsi="Wingdings" w:hint="default"/>
      </w:rPr>
    </w:lvl>
    <w:lvl w:ilvl="3" w:tplc="4EDCDBBA">
      <w:start w:val="1"/>
      <w:numFmt w:val="bullet"/>
      <w:lvlText w:val=""/>
      <w:lvlJc w:val="left"/>
      <w:pPr>
        <w:ind w:left="2880" w:hanging="360"/>
      </w:pPr>
      <w:rPr>
        <w:rFonts w:ascii="Symbol" w:hAnsi="Symbol" w:hint="default"/>
      </w:rPr>
    </w:lvl>
    <w:lvl w:ilvl="4" w:tplc="209C7440">
      <w:start w:val="1"/>
      <w:numFmt w:val="bullet"/>
      <w:lvlText w:val="o"/>
      <w:lvlJc w:val="left"/>
      <w:pPr>
        <w:ind w:left="3600" w:hanging="360"/>
      </w:pPr>
      <w:rPr>
        <w:rFonts w:ascii="Courier New" w:hAnsi="Courier New" w:hint="default"/>
      </w:rPr>
    </w:lvl>
    <w:lvl w:ilvl="5" w:tplc="246CCE3E">
      <w:start w:val="1"/>
      <w:numFmt w:val="bullet"/>
      <w:lvlText w:val=""/>
      <w:lvlJc w:val="left"/>
      <w:pPr>
        <w:ind w:left="4320" w:hanging="360"/>
      </w:pPr>
      <w:rPr>
        <w:rFonts w:ascii="Wingdings" w:hAnsi="Wingdings" w:hint="default"/>
      </w:rPr>
    </w:lvl>
    <w:lvl w:ilvl="6" w:tplc="A31021A4">
      <w:start w:val="1"/>
      <w:numFmt w:val="bullet"/>
      <w:lvlText w:val=""/>
      <w:lvlJc w:val="left"/>
      <w:pPr>
        <w:ind w:left="5040" w:hanging="360"/>
      </w:pPr>
      <w:rPr>
        <w:rFonts w:ascii="Symbol" w:hAnsi="Symbol" w:hint="default"/>
      </w:rPr>
    </w:lvl>
    <w:lvl w:ilvl="7" w:tplc="F31069E6">
      <w:start w:val="1"/>
      <w:numFmt w:val="bullet"/>
      <w:lvlText w:val="o"/>
      <w:lvlJc w:val="left"/>
      <w:pPr>
        <w:ind w:left="5760" w:hanging="360"/>
      </w:pPr>
      <w:rPr>
        <w:rFonts w:ascii="Courier New" w:hAnsi="Courier New" w:hint="default"/>
      </w:rPr>
    </w:lvl>
    <w:lvl w:ilvl="8" w:tplc="11B6B860">
      <w:start w:val="1"/>
      <w:numFmt w:val="bullet"/>
      <w:lvlText w:val=""/>
      <w:lvlJc w:val="left"/>
      <w:pPr>
        <w:ind w:left="6480" w:hanging="360"/>
      </w:pPr>
      <w:rPr>
        <w:rFonts w:ascii="Wingdings" w:hAnsi="Wingdings" w:hint="default"/>
      </w:rPr>
    </w:lvl>
  </w:abstractNum>
  <w:abstractNum w:abstractNumId="8" w15:restartNumberingAfterBreak="0">
    <w:nsid w:val="7D2225EF"/>
    <w:multiLevelType w:val="hybridMultilevel"/>
    <w:tmpl w:val="FFFFFFFF"/>
    <w:lvl w:ilvl="0" w:tplc="7C96197A">
      <w:start w:val="1"/>
      <w:numFmt w:val="bullet"/>
      <w:lvlText w:val=""/>
      <w:lvlJc w:val="left"/>
      <w:pPr>
        <w:ind w:left="720" w:hanging="360"/>
      </w:pPr>
      <w:rPr>
        <w:rFonts w:ascii="Symbol" w:hAnsi="Symbol" w:hint="default"/>
      </w:rPr>
    </w:lvl>
    <w:lvl w:ilvl="1" w:tplc="A28E9438">
      <w:start w:val="1"/>
      <w:numFmt w:val="bullet"/>
      <w:lvlText w:val="o"/>
      <w:lvlJc w:val="left"/>
      <w:pPr>
        <w:ind w:left="1440" w:hanging="360"/>
      </w:pPr>
      <w:rPr>
        <w:rFonts w:ascii="Courier New" w:hAnsi="Courier New" w:hint="default"/>
      </w:rPr>
    </w:lvl>
    <w:lvl w:ilvl="2" w:tplc="AB0461E6">
      <w:start w:val="1"/>
      <w:numFmt w:val="bullet"/>
      <w:lvlText w:val=""/>
      <w:lvlJc w:val="left"/>
      <w:pPr>
        <w:ind w:left="2160" w:hanging="360"/>
      </w:pPr>
      <w:rPr>
        <w:rFonts w:ascii="Wingdings" w:hAnsi="Wingdings" w:hint="default"/>
      </w:rPr>
    </w:lvl>
    <w:lvl w:ilvl="3" w:tplc="4D7637C0">
      <w:start w:val="1"/>
      <w:numFmt w:val="bullet"/>
      <w:lvlText w:val=""/>
      <w:lvlJc w:val="left"/>
      <w:pPr>
        <w:ind w:left="2880" w:hanging="360"/>
      </w:pPr>
      <w:rPr>
        <w:rFonts w:ascii="Symbol" w:hAnsi="Symbol" w:hint="default"/>
      </w:rPr>
    </w:lvl>
    <w:lvl w:ilvl="4" w:tplc="17DE177E">
      <w:start w:val="1"/>
      <w:numFmt w:val="bullet"/>
      <w:lvlText w:val="o"/>
      <w:lvlJc w:val="left"/>
      <w:pPr>
        <w:ind w:left="3600" w:hanging="360"/>
      </w:pPr>
      <w:rPr>
        <w:rFonts w:ascii="Courier New" w:hAnsi="Courier New" w:hint="default"/>
      </w:rPr>
    </w:lvl>
    <w:lvl w:ilvl="5" w:tplc="8C04DF14">
      <w:start w:val="1"/>
      <w:numFmt w:val="bullet"/>
      <w:lvlText w:val=""/>
      <w:lvlJc w:val="left"/>
      <w:pPr>
        <w:ind w:left="4320" w:hanging="360"/>
      </w:pPr>
      <w:rPr>
        <w:rFonts w:ascii="Wingdings" w:hAnsi="Wingdings" w:hint="default"/>
      </w:rPr>
    </w:lvl>
    <w:lvl w:ilvl="6" w:tplc="947CED3C">
      <w:start w:val="1"/>
      <w:numFmt w:val="bullet"/>
      <w:lvlText w:val=""/>
      <w:lvlJc w:val="left"/>
      <w:pPr>
        <w:ind w:left="5040" w:hanging="360"/>
      </w:pPr>
      <w:rPr>
        <w:rFonts w:ascii="Symbol" w:hAnsi="Symbol" w:hint="default"/>
      </w:rPr>
    </w:lvl>
    <w:lvl w:ilvl="7" w:tplc="9C5CF19C">
      <w:start w:val="1"/>
      <w:numFmt w:val="bullet"/>
      <w:lvlText w:val="o"/>
      <w:lvlJc w:val="left"/>
      <w:pPr>
        <w:ind w:left="5760" w:hanging="360"/>
      </w:pPr>
      <w:rPr>
        <w:rFonts w:ascii="Courier New" w:hAnsi="Courier New" w:hint="default"/>
      </w:rPr>
    </w:lvl>
    <w:lvl w:ilvl="8" w:tplc="AED6F716">
      <w:start w:val="1"/>
      <w:numFmt w:val="bullet"/>
      <w:lvlText w:val=""/>
      <w:lvlJc w:val="left"/>
      <w:pPr>
        <w:ind w:left="6480" w:hanging="360"/>
      </w:pPr>
      <w:rPr>
        <w:rFonts w:ascii="Wingdings" w:hAnsi="Wingdings" w:hint="default"/>
      </w:rPr>
    </w:lvl>
  </w:abstractNum>
  <w:num w:numId="1" w16cid:durableId="1174808272">
    <w:abstractNumId w:val="8"/>
  </w:num>
  <w:num w:numId="2" w16cid:durableId="1375304300">
    <w:abstractNumId w:val="2"/>
  </w:num>
  <w:num w:numId="3" w16cid:durableId="1480733933">
    <w:abstractNumId w:val="5"/>
  </w:num>
  <w:num w:numId="4" w16cid:durableId="1727795082">
    <w:abstractNumId w:val="1"/>
  </w:num>
  <w:num w:numId="5" w16cid:durableId="1861897538">
    <w:abstractNumId w:val="7"/>
  </w:num>
  <w:num w:numId="6" w16cid:durableId="2077168977">
    <w:abstractNumId w:val="4"/>
  </w:num>
  <w:num w:numId="7" w16cid:durableId="405034666">
    <w:abstractNumId w:val="6"/>
  </w:num>
  <w:num w:numId="8" w16cid:durableId="649942050">
    <w:abstractNumId w:val="3"/>
  </w:num>
  <w:num w:numId="9" w16cid:durableId="86733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52128"/>
    <w:rsid w:val="0024011B"/>
    <w:rsid w:val="002B7F2C"/>
    <w:rsid w:val="002D57C5"/>
    <w:rsid w:val="0033147D"/>
    <w:rsid w:val="003A3259"/>
    <w:rsid w:val="003B4D06"/>
    <w:rsid w:val="003F057E"/>
    <w:rsid w:val="004173D9"/>
    <w:rsid w:val="00535F9C"/>
    <w:rsid w:val="00637920"/>
    <w:rsid w:val="007214E0"/>
    <w:rsid w:val="0095714E"/>
    <w:rsid w:val="009C42C4"/>
    <w:rsid w:val="009D118A"/>
    <w:rsid w:val="00B61131"/>
    <w:rsid w:val="00B90503"/>
    <w:rsid w:val="00BF7910"/>
    <w:rsid w:val="00C34540"/>
    <w:rsid w:val="00CB14F5"/>
    <w:rsid w:val="00D9148F"/>
    <w:rsid w:val="00DA3E4B"/>
    <w:rsid w:val="00DA3EFF"/>
    <w:rsid w:val="00DC68E7"/>
    <w:rsid w:val="00EA3EFA"/>
    <w:rsid w:val="00EE7C3F"/>
    <w:rsid w:val="00F32156"/>
    <w:rsid w:val="00F4458E"/>
    <w:rsid w:val="00FB0206"/>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character" w:styleId="Hyperlink">
    <w:name w:val="Hyperlink"/>
    <w:basedOn w:val="DefaultParagraphFont"/>
    <w:uiPriority w:val="99"/>
    <w:unhideWhenUsed/>
    <w:rsid w:val="006379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edomofspeech@citystgeorges.ac.uk" TargetMode="External"/><Relationship Id="rId3" Type="http://schemas.openxmlformats.org/officeDocument/2006/relationships/settings" Target="settings.xml"/><Relationship Id="rId7" Type="http://schemas.openxmlformats.org/officeDocument/2006/relationships/hyperlink" Target="https://www.citystgeorges.ac.uk/about/governance/policies/code-of-practice-on-freedom-of-speech?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eedomofspeech@citystgeorge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Speech and Academic Freedom</dc:title>
  <dc:subject>
  </dc:subject>
  <dc:creator>City St George's, University of London</dc:creator>
  <cp:keywords>
  </cp:keywords>
  <dc:description>
  </dc:description>
  <cp:lastModifiedBy>Angela Wraight</cp:lastModifiedBy>
  <cp:revision>2</cp:revision>
  <dcterms:created xsi:type="dcterms:W3CDTF">2025-10-24T11:03:00Z</dcterms:created>
  <dcterms:modified xsi:type="dcterms:W3CDTF">2025-10-24T12:52:52Z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