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5FF5" w:rsidP="003E5FF5" w:rsidRDefault="003E5FF5" w14:paraId="49380ABB" w14:textId="77777777">
      <w:pPr>
        <w:rPr>
          <w:rFonts w:cs="Arial"/>
          <w:b/>
        </w:rPr>
      </w:pPr>
      <w:r>
        <w:rPr>
          <w:rFonts w:cs="Arial"/>
          <w:b/>
        </w:rPr>
        <w:t>PensionsPlus New Starter Information</w:t>
      </w:r>
    </w:p>
    <w:p w:rsidR="003E5FF5" w:rsidP="003E5FF5" w:rsidRDefault="003E5FF5" w14:paraId="06007A95" w14:textId="77777777">
      <w:pPr>
        <w:rPr>
          <w:rFonts w:cs="Arial"/>
          <w:b/>
        </w:rPr>
      </w:pPr>
    </w:p>
    <w:p w:rsidR="003E5FF5" w:rsidP="003E5FF5" w:rsidRDefault="003E5FF5" w14:paraId="5B6B6704" w14:textId="77777777">
      <w:pPr>
        <w:rPr>
          <w:rFonts w:cs="Arial"/>
        </w:rPr>
      </w:pPr>
      <w:r>
        <w:rPr>
          <w:rFonts w:cs="Arial"/>
        </w:rPr>
        <w:t>All new members of staff are automatically enrolled into either the Universities Superannuation Scheme (USS) or Superannuation of University of London (SAUL), unless they complete the Opt Out form during the Payroll Induction.</w:t>
      </w:r>
    </w:p>
    <w:p w:rsidR="003E5FF5" w:rsidP="003E5FF5" w:rsidRDefault="003E5FF5" w14:paraId="425BE9D5" w14:textId="77777777">
      <w:pPr>
        <w:rPr>
          <w:rFonts w:cs="Arial"/>
        </w:rPr>
      </w:pPr>
      <w:r>
        <w:rPr>
          <w:rFonts w:cs="Arial"/>
        </w:rPr>
        <w:t>Levels of Contribution</w:t>
      </w:r>
    </w:p>
    <w:p w:rsidR="003E5FF5" w:rsidP="003E5FF5" w:rsidRDefault="003E5FF5" w14:paraId="5B266100" w14:textId="77777777">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2"/>
        <w:gridCol w:w="1955"/>
        <w:gridCol w:w="1956"/>
        <w:gridCol w:w="1956"/>
      </w:tblGrid>
      <w:tr w:rsidR="003E5FF5" w:rsidTr="003E5FF5" w14:paraId="16DB455C"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6A6427EC" w14:textId="77777777">
            <w:pPr>
              <w:spacing w:line="256" w:lineRule="auto"/>
              <w:rPr>
                <w:rFonts w:cs="Arial"/>
              </w:rPr>
            </w:pPr>
            <w:r>
              <w:rPr>
                <w:rFonts w:cs="Arial"/>
              </w:rPr>
              <w:t>Pension Scheme</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1F5C6A4B" w14:textId="77777777">
            <w:pPr>
              <w:spacing w:line="256" w:lineRule="auto"/>
              <w:rPr>
                <w:rFonts w:cs="Arial"/>
              </w:rPr>
            </w:pPr>
            <w:r>
              <w:rPr>
                <w:rFonts w:cs="Arial"/>
              </w:rPr>
              <w:t>Employee Contribution</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376685C1" w14:textId="77777777">
            <w:pPr>
              <w:spacing w:line="256" w:lineRule="auto"/>
              <w:rPr>
                <w:rFonts w:cs="Arial"/>
              </w:rPr>
            </w:pPr>
            <w:r>
              <w:rPr>
                <w:rFonts w:cs="Arial"/>
              </w:rPr>
              <w:t>Employer Contribution</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73261407" w14:textId="77777777">
            <w:pPr>
              <w:spacing w:line="256" w:lineRule="auto"/>
              <w:rPr>
                <w:rFonts w:cs="Arial"/>
              </w:rPr>
            </w:pPr>
            <w:r>
              <w:rPr>
                <w:rFonts w:cs="Arial"/>
              </w:rPr>
              <w:t>Total Contribution</w:t>
            </w:r>
          </w:p>
        </w:tc>
      </w:tr>
      <w:tr w:rsidR="003E5FF5" w:rsidTr="003E5FF5" w14:paraId="7AC0E6CE"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750094CA" w14:textId="77777777">
            <w:pPr>
              <w:spacing w:line="256" w:lineRule="auto"/>
              <w:rPr>
                <w:rFonts w:cs="Arial"/>
              </w:rPr>
            </w:pPr>
            <w:r>
              <w:rPr>
                <w:rFonts w:cs="Arial"/>
              </w:rPr>
              <w:t xml:space="preserve">PensionsPlus </w:t>
            </w:r>
          </w:p>
          <w:p w:rsidR="003E5FF5" w:rsidRDefault="003E5FF5" w14:paraId="3258F654" w14:textId="77777777">
            <w:pPr>
              <w:spacing w:line="256" w:lineRule="auto"/>
              <w:rPr>
                <w:rFonts w:cs="Arial"/>
              </w:rPr>
            </w:pPr>
            <w:r>
              <w:rPr>
                <w:rFonts w:cs="Arial"/>
              </w:rPr>
              <w:t>USS</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19EED28E" w14:textId="77777777">
            <w:pPr>
              <w:spacing w:line="256" w:lineRule="auto"/>
              <w:rPr>
                <w:rFonts w:cs="Arial"/>
              </w:rPr>
            </w:pPr>
            <w:r>
              <w:rPr>
                <w:rFonts w:cs="Arial"/>
              </w:rPr>
              <w:t>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7A10437C" w14:textId="77777777">
            <w:pPr>
              <w:spacing w:line="256" w:lineRule="auto"/>
              <w:rPr>
                <w:rFonts w:cs="Arial"/>
              </w:rPr>
            </w:pPr>
            <w:r>
              <w:rPr>
                <w:rFonts w:cs="Arial"/>
              </w:rPr>
              <w:t>20.60%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5CF9EB33" w14:textId="77777777">
            <w:pPr>
              <w:spacing w:line="256" w:lineRule="auto"/>
              <w:rPr>
                <w:rFonts w:cs="Arial"/>
              </w:rPr>
            </w:pPr>
            <w:r>
              <w:rPr>
                <w:rFonts w:cs="Arial"/>
              </w:rPr>
              <w:t>20.60%</w:t>
            </w:r>
          </w:p>
        </w:tc>
      </w:tr>
      <w:tr w:rsidR="003E5FF5" w:rsidTr="003E5FF5" w14:paraId="1AB2DB3E"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55636086" w14:textId="77777777">
            <w:pPr>
              <w:spacing w:line="256" w:lineRule="auto"/>
              <w:rPr>
                <w:rFonts w:cs="Arial"/>
              </w:rPr>
            </w:pPr>
            <w:r>
              <w:rPr>
                <w:rFonts w:cs="Arial"/>
              </w:rPr>
              <w:t>USS</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607ADFE7" w14:textId="77777777">
            <w:pPr>
              <w:spacing w:line="256" w:lineRule="auto"/>
              <w:rPr>
                <w:rFonts w:cs="Arial"/>
              </w:rPr>
            </w:pPr>
            <w:r>
              <w:rPr>
                <w:rFonts w:cs="Arial"/>
              </w:rPr>
              <w:t>6.10%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64EC77FC" w14:textId="77777777">
            <w:pPr>
              <w:spacing w:line="256" w:lineRule="auto"/>
              <w:rPr>
                <w:rFonts w:cs="Arial"/>
              </w:rPr>
            </w:pPr>
            <w:r>
              <w:rPr>
                <w:rFonts w:cs="Arial"/>
              </w:rPr>
              <w:t>14.50%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5EC3DAEF" w14:textId="77777777">
            <w:pPr>
              <w:spacing w:line="256" w:lineRule="auto"/>
              <w:rPr>
                <w:rFonts w:cs="Arial"/>
              </w:rPr>
            </w:pPr>
            <w:r>
              <w:rPr>
                <w:rFonts w:cs="Arial"/>
              </w:rPr>
              <w:t>20.60%</w:t>
            </w:r>
          </w:p>
        </w:tc>
      </w:tr>
      <w:tr w:rsidR="003E5FF5" w:rsidTr="003E5FF5" w14:paraId="34F41F2B"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5A9199E3" w14:textId="77777777">
            <w:pPr>
              <w:spacing w:line="256" w:lineRule="auto"/>
              <w:rPr>
                <w:rFonts w:cs="Arial"/>
              </w:rPr>
            </w:pPr>
            <w:r>
              <w:rPr>
                <w:rFonts w:cs="Arial"/>
              </w:rPr>
              <w:t>PensionsPlus SAUL DB</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1EC9746E" w14:textId="77777777">
            <w:pPr>
              <w:spacing w:line="256" w:lineRule="auto"/>
              <w:rPr>
                <w:rFonts w:cs="Arial"/>
              </w:rPr>
            </w:pPr>
            <w:r>
              <w:rPr>
                <w:rFonts w:cs="Arial"/>
              </w:rPr>
              <w:t>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31846712" w14:textId="4FBC4826">
            <w:pPr>
              <w:spacing w:line="256" w:lineRule="auto"/>
              <w:rPr>
                <w:rFonts w:cs="Arial"/>
              </w:rPr>
            </w:pPr>
            <w:r>
              <w:rPr>
                <w:rFonts w:cs="Arial"/>
              </w:rPr>
              <w:t>2</w:t>
            </w:r>
            <w:r w:rsidR="00FE6038">
              <w:rPr>
                <w:rFonts w:cs="Arial"/>
              </w:rPr>
              <w:t>5</w:t>
            </w:r>
            <w:r>
              <w:rPr>
                <w:rFonts w:cs="Arial"/>
              </w:rPr>
              <w:t>.00%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3F72DF7A" w14:textId="056F5365">
            <w:pPr>
              <w:spacing w:line="256" w:lineRule="auto"/>
              <w:rPr>
                <w:rFonts w:cs="Arial"/>
              </w:rPr>
            </w:pPr>
            <w:r>
              <w:rPr>
                <w:rFonts w:cs="Arial"/>
              </w:rPr>
              <w:t>2</w:t>
            </w:r>
            <w:r w:rsidR="00FE6038">
              <w:rPr>
                <w:rFonts w:cs="Arial"/>
              </w:rPr>
              <w:t>5</w:t>
            </w:r>
            <w:r>
              <w:rPr>
                <w:rFonts w:cs="Arial"/>
              </w:rPr>
              <w:t>.00%</w:t>
            </w:r>
          </w:p>
        </w:tc>
      </w:tr>
      <w:tr w:rsidR="003E5FF5" w:rsidTr="003E5FF5" w14:paraId="39958F72"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145C71EA" w14:textId="77777777">
            <w:pPr>
              <w:spacing w:line="256" w:lineRule="auto"/>
              <w:rPr>
                <w:rFonts w:cs="Arial"/>
              </w:rPr>
            </w:pPr>
            <w:r>
              <w:rPr>
                <w:rFonts w:cs="Arial"/>
              </w:rPr>
              <w:t>SAUL DB</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398AE7D0" w14:textId="77777777">
            <w:pPr>
              <w:spacing w:line="256" w:lineRule="auto"/>
              <w:rPr>
                <w:rFonts w:cs="Arial"/>
              </w:rPr>
            </w:pPr>
            <w:r>
              <w:rPr>
                <w:rFonts w:cs="Arial"/>
              </w:rPr>
              <w:t>6.00%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FE6038" w14:paraId="20EBED2F" w14:textId="54B7DF65">
            <w:pPr>
              <w:spacing w:line="256" w:lineRule="auto"/>
              <w:rPr>
                <w:rFonts w:cs="Arial"/>
              </w:rPr>
            </w:pPr>
            <w:r>
              <w:rPr>
                <w:rFonts w:cs="Arial"/>
              </w:rPr>
              <w:t>19</w:t>
            </w:r>
            <w:r w:rsidR="003E5FF5">
              <w:rPr>
                <w:rFonts w:cs="Arial"/>
              </w:rPr>
              <w:t>.00%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15F6D6A7" w14:textId="411F314B">
            <w:pPr>
              <w:spacing w:line="256" w:lineRule="auto"/>
              <w:rPr>
                <w:rFonts w:cs="Arial"/>
              </w:rPr>
            </w:pPr>
            <w:r>
              <w:rPr>
                <w:rFonts w:cs="Arial"/>
              </w:rPr>
              <w:t>2</w:t>
            </w:r>
            <w:r w:rsidR="00FE6038">
              <w:rPr>
                <w:rFonts w:cs="Arial"/>
              </w:rPr>
              <w:t>5</w:t>
            </w:r>
            <w:r>
              <w:rPr>
                <w:rFonts w:cs="Arial"/>
              </w:rPr>
              <w:t>.00%</w:t>
            </w:r>
          </w:p>
        </w:tc>
      </w:tr>
      <w:tr w:rsidR="003E5FF5" w:rsidTr="003E5FF5" w14:paraId="2A785248"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39ACECE5" w14:textId="77777777">
            <w:pPr>
              <w:spacing w:line="256" w:lineRule="auto"/>
              <w:rPr>
                <w:rFonts w:cs="Arial"/>
              </w:rPr>
            </w:pPr>
            <w:r>
              <w:rPr>
                <w:rFonts w:cs="Arial"/>
              </w:rPr>
              <w:t>PensionsPlus</w:t>
            </w:r>
          </w:p>
          <w:p w:rsidR="003E5FF5" w:rsidRDefault="003E5FF5" w14:paraId="3A08D6EC" w14:textId="77777777">
            <w:pPr>
              <w:spacing w:line="256" w:lineRule="auto"/>
              <w:rPr>
                <w:rFonts w:cs="Arial"/>
              </w:rPr>
            </w:pPr>
            <w:r>
              <w:rPr>
                <w:rFonts w:cs="Arial"/>
              </w:rPr>
              <w:t>SAUL DC</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0029EB63" w14:textId="77777777">
            <w:pPr>
              <w:spacing w:line="256" w:lineRule="auto"/>
              <w:rPr>
                <w:rFonts w:cs="Arial"/>
              </w:rPr>
            </w:pPr>
            <w:r>
              <w:rPr>
                <w:rFonts w:cs="Arial"/>
              </w:rPr>
              <w:t>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6337EBA9" w14:textId="77777777">
            <w:pPr>
              <w:spacing w:line="256" w:lineRule="auto"/>
              <w:rPr>
                <w:rFonts w:cs="Arial"/>
              </w:rPr>
            </w:pPr>
            <w:r>
              <w:rPr>
                <w:rFonts w:cs="Arial"/>
              </w:rPr>
              <w:t>22.00%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7358A329" w14:textId="77777777">
            <w:pPr>
              <w:spacing w:line="256" w:lineRule="auto"/>
              <w:rPr>
                <w:rFonts w:cs="Arial"/>
              </w:rPr>
            </w:pPr>
            <w:r>
              <w:rPr>
                <w:rFonts w:cs="Arial"/>
              </w:rPr>
              <w:t>22.00%</w:t>
            </w:r>
          </w:p>
        </w:tc>
      </w:tr>
      <w:tr w:rsidR="003E5FF5" w:rsidTr="003E5FF5" w14:paraId="65C70273" w14:textId="77777777">
        <w:tc>
          <w:tcPr>
            <w:tcW w:w="2002" w:type="dxa"/>
            <w:tcBorders>
              <w:top w:val="single" w:color="auto" w:sz="4" w:space="0"/>
              <w:left w:val="single" w:color="auto" w:sz="4" w:space="0"/>
              <w:bottom w:val="single" w:color="auto" w:sz="4" w:space="0"/>
              <w:right w:val="single" w:color="auto" w:sz="4" w:space="0"/>
            </w:tcBorders>
            <w:hideMark/>
          </w:tcPr>
          <w:p w:rsidR="003E5FF5" w:rsidRDefault="003E5FF5" w14:paraId="64F96DB2" w14:textId="77777777">
            <w:pPr>
              <w:spacing w:line="256" w:lineRule="auto"/>
              <w:rPr>
                <w:rFonts w:cs="Arial"/>
              </w:rPr>
            </w:pPr>
            <w:r>
              <w:rPr>
                <w:rFonts w:cs="Arial"/>
              </w:rPr>
              <w:t xml:space="preserve">PensionsPlus </w:t>
            </w:r>
          </w:p>
          <w:p w:rsidR="003E5FF5" w:rsidRDefault="003E5FF5" w14:paraId="4FF221D3" w14:textId="77777777">
            <w:pPr>
              <w:spacing w:line="256" w:lineRule="auto"/>
              <w:rPr>
                <w:rFonts w:cs="Arial"/>
              </w:rPr>
            </w:pPr>
            <w:r>
              <w:rPr>
                <w:rFonts w:cs="Arial"/>
              </w:rPr>
              <w:t>SAUL DC</w:t>
            </w:r>
          </w:p>
        </w:tc>
        <w:tc>
          <w:tcPr>
            <w:tcW w:w="1955" w:type="dxa"/>
            <w:tcBorders>
              <w:top w:val="single" w:color="auto" w:sz="4" w:space="0"/>
              <w:left w:val="single" w:color="auto" w:sz="4" w:space="0"/>
              <w:bottom w:val="single" w:color="auto" w:sz="4" w:space="0"/>
              <w:right w:val="single" w:color="auto" w:sz="4" w:space="0"/>
            </w:tcBorders>
            <w:hideMark/>
          </w:tcPr>
          <w:p w:rsidR="003E5FF5" w:rsidRDefault="003E5FF5" w14:paraId="17088587" w14:textId="77777777">
            <w:pPr>
              <w:spacing w:line="256" w:lineRule="auto"/>
              <w:rPr>
                <w:rFonts w:cs="Arial"/>
              </w:rPr>
            </w:pPr>
            <w:r>
              <w:rPr>
                <w:rFonts w:cs="Arial"/>
              </w:rPr>
              <w:t>6.00%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3CF758C5" w14:textId="77777777">
            <w:pPr>
              <w:spacing w:line="256" w:lineRule="auto"/>
              <w:rPr>
                <w:rFonts w:cs="Arial"/>
              </w:rPr>
            </w:pPr>
            <w:r>
              <w:rPr>
                <w:rFonts w:cs="Arial"/>
              </w:rPr>
              <w:t>16.00%</w:t>
            </w:r>
          </w:p>
        </w:tc>
        <w:tc>
          <w:tcPr>
            <w:tcW w:w="1956" w:type="dxa"/>
            <w:tcBorders>
              <w:top w:val="single" w:color="auto" w:sz="4" w:space="0"/>
              <w:left w:val="single" w:color="auto" w:sz="4" w:space="0"/>
              <w:bottom w:val="single" w:color="auto" w:sz="4" w:space="0"/>
              <w:right w:val="single" w:color="auto" w:sz="4" w:space="0"/>
            </w:tcBorders>
            <w:hideMark/>
          </w:tcPr>
          <w:p w:rsidR="003E5FF5" w:rsidRDefault="003E5FF5" w14:paraId="78155767" w14:textId="77777777">
            <w:pPr>
              <w:spacing w:line="256" w:lineRule="auto"/>
              <w:rPr>
                <w:rFonts w:cs="Arial"/>
              </w:rPr>
            </w:pPr>
            <w:r>
              <w:rPr>
                <w:rFonts w:cs="Arial"/>
              </w:rPr>
              <w:t>22.00%</w:t>
            </w:r>
          </w:p>
        </w:tc>
      </w:tr>
    </w:tbl>
    <w:p w:rsidR="003E5FF5" w:rsidP="003E5FF5" w:rsidRDefault="003E5FF5" w14:paraId="1EB5F5AF" w14:textId="77777777">
      <w:pPr>
        <w:rPr>
          <w:rFonts w:cs="Arial" w:eastAsiaTheme="minorEastAsia"/>
          <w:lang w:val="en-US"/>
        </w:rPr>
      </w:pPr>
      <w:r>
        <w:rPr>
          <w:rFonts w:cs="Arial"/>
        </w:rPr>
        <w:t>(Please note SAUL DC applies to new SAUL joiners only from 01/04/2023)</w:t>
      </w:r>
    </w:p>
    <w:p w:rsidR="003E5FF5" w:rsidP="003E5FF5" w:rsidRDefault="003E5FF5" w14:paraId="459EF05F" w14:textId="3CB25318">
      <w:pPr>
        <w:rPr>
          <w:rFonts w:cs="Arial"/>
        </w:rPr>
      </w:pPr>
      <w:r>
        <w:rPr>
          <w:rFonts w:cs="Arial"/>
        </w:rPr>
        <w:t>(USS rates are applicable from Jan 2024</w:t>
      </w:r>
      <w:r w:rsidR="00FE6038">
        <w:rPr>
          <w:rFonts w:cs="Arial"/>
        </w:rPr>
        <w:t>, SAUL rates applicable from Sept 2024</w:t>
      </w:r>
      <w:r>
        <w:rPr>
          <w:rFonts w:cs="Arial"/>
        </w:rPr>
        <w:t>)</w:t>
      </w:r>
    </w:p>
    <w:p w:rsidR="003E5FF5" w:rsidP="003E5FF5" w:rsidRDefault="003E5FF5" w14:paraId="7D785662" w14:textId="77777777">
      <w:pPr>
        <w:rPr>
          <w:rFonts w:cs="Arial"/>
        </w:rPr>
      </w:pPr>
    </w:p>
    <w:p w:rsidR="003E5FF5" w:rsidP="003E5FF5" w:rsidRDefault="003E5FF5" w14:paraId="0C96E0B2" w14:textId="77777777">
      <w:pPr>
        <w:rPr>
          <w:rFonts w:cs="Arial"/>
          <w:b/>
        </w:rPr>
      </w:pPr>
      <w:r>
        <w:rPr>
          <w:rFonts w:cs="Arial"/>
          <w:b/>
        </w:rPr>
        <w:t>Payment Options</w:t>
      </w:r>
    </w:p>
    <w:p w:rsidR="003E5FF5" w:rsidP="003E5FF5" w:rsidRDefault="003E5FF5" w14:paraId="1336C025" w14:textId="77777777">
      <w:pPr>
        <w:rPr>
          <w:rFonts w:cs="Arial"/>
        </w:rPr>
      </w:pPr>
    </w:p>
    <w:p w:rsidR="003E5FF5" w:rsidP="003E5FF5" w:rsidRDefault="003E5FF5" w14:paraId="3675F6C0" w14:textId="77777777">
      <w:pPr>
        <w:rPr>
          <w:rFonts w:cs="Arial"/>
          <w:b/>
        </w:rPr>
      </w:pPr>
      <w:r>
        <w:rPr>
          <w:rFonts w:cs="Arial"/>
          <w:b/>
        </w:rPr>
        <w:t>Option One – Non Salary Exchange Contribution Method</w:t>
      </w:r>
    </w:p>
    <w:p w:rsidR="003E5FF5" w:rsidP="003E5FF5" w:rsidRDefault="003E5FF5" w14:paraId="6687FD23" w14:textId="77777777">
      <w:pPr>
        <w:rPr>
          <w:rFonts w:cs="Arial"/>
        </w:rPr>
      </w:pPr>
      <w:r>
        <w:rPr>
          <w:rFonts w:cs="Arial"/>
        </w:rPr>
        <w:t>The member of staff contributes the required percentage of their Pensionable salary directly to either USS or SAUL from their monthly salary and the University makes an employer percentage contribution.  The member of staff would receive tax relief on their pension contributions but would not receive any relief for National Insurance Contributions.</w:t>
      </w:r>
    </w:p>
    <w:p w:rsidR="003E5FF5" w:rsidP="003E5FF5" w:rsidRDefault="003E5FF5" w14:paraId="0A071C4F" w14:textId="77777777">
      <w:pPr>
        <w:rPr>
          <w:rFonts w:cs="Arial"/>
        </w:rPr>
      </w:pPr>
    </w:p>
    <w:p w:rsidR="003E5FF5" w:rsidP="003E5FF5" w:rsidRDefault="003E5FF5" w14:paraId="4DD5A817" w14:textId="77777777">
      <w:pPr>
        <w:rPr>
          <w:rFonts w:cs="Arial"/>
          <w:b/>
        </w:rPr>
      </w:pPr>
      <w:r>
        <w:rPr>
          <w:rFonts w:cs="Arial"/>
          <w:b/>
        </w:rPr>
        <w:t>Option Two – PensionsPlus Salary Exchange Method</w:t>
      </w:r>
    </w:p>
    <w:p w:rsidR="003E5FF5" w:rsidP="003E5FF5" w:rsidRDefault="003E5FF5" w14:paraId="189E4656" w14:textId="77777777">
      <w:pPr>
        <w:pStyle w:val="NormalWeb"/>
        <w:rPr>
          <w:rFonts w:ascii="Arial" w:hAnsi="Arial" w:cs="Arial"/>
          <w:sz w:val="22"/>
          <w:szCs w:val="22"/>
        </w:rPr>
      </w:pPr>
      <w:r>
        <w:rPr>
          <w:rFonts w:ascii="Arial" w:hAnsi="Arial" w:cs="Arial"/>
          <w:sz w:val="22"/>
          <w:szCs w:val="22"/>
        </w:rPr>
        <w:t>The member of staff does not make any direct payments to the pension scheme, and their Basic Salary (and other elements of pensionable income) is reduced by the percentage they are eligible to contribute. The University contributes both the employer and employee percentage directly to the scheme on behalf of the member of staff.  This allows them to receive relief for National Insurance Contributions with a consequential increase in their take home pay.</w:t>
      </w:r>
    </w:p>
    <w:p w:rsidR="003E5FF5" w:rsidP="003E5FF5" w:rsidRDefault="003E5FF5" w14:paraId="0AFD0BC4" w14:textId="77777777">
      <w:pPr>
        <w:pStyle w:val="NormalWeb"/>
        <w:rPr>
          <w:rFonts w:ascii="Arial" w:hAnsi="Arial" w:cs="Arial"/>
          <w:sz w:val="22"/>
          <w:szCs w:val="22"/>
        </w:rPr>
      </w:pPr>
      <w:r>
        <w:rPr>
          <w:rStyle w:val="Emphasis"/>
          <w:rFonts w:ascii="Arial" w:hAnsi="Arial" w:cs="Arial"/>
          <w:b/>
          <w:bCs/>
          <w:sz w:val="22"/>
          <w:szCs w:val="22"/>
        </w:rPr>
        <w:t>Please note:</w:t>
      </w:r>
    </w:p>
    <w:p w:rsidR="003E5FF5" w:rsidP="003E5FF5" w:rsidRDefault="003E5FF5" w14:paraId="28B90C5C" w14:textId="77777777">
      <w:pPr>
        <w:pStyle w:val="NormalWeb"/>
        <w:rPr>
          <w:rFonts w:ascii="Arial" w:hAnsi="Arial" w:cs="Arial"/>
          <w:sz w:val="22"/>
          <w:szCs w:val="22"/>
        </w:rPr>
      </w:pPr>
      <w:r>
        <w:rPr>
          <w:rFonts w:ascii="Arial" w:hAnsi="Arial" w:cs="Arial"/>
          <w:sz w:val="22"/>
          <w:szCs w:val="22"/>
        </w:rPr>
        <w:t xml:space="preserve">If a member of staff leaves the pension scheme </w:t>
      </w:r>
      <w:r>
        <w:rPr>
          <w:rStyle w:val="Strong"/>
          <w:rFonts w:cs="Arial" w:eastAsiaTheme="minorEastAsia"/>
          <w:sz w:val="22"/>
          <w:szCs w:val="22"/>
        </w:rPr>
        <w:t>more than two years</w:t>
      </w:r>
      <w:r>
        <w:rPr>
          <w:rFonts w:ascii="Arial" w:hAnsi="Arial" w:cs="Arial"/>
          <w:sz w:val="22"/>
          <w:szCs w:val="22"/>
        </w:rPr>
        <w:t xml:space="preserve"> after joining (whether or not this coincides with the end of their University employment) they will have the choice of:</w:t>
      </w:r>
    </w:p>
    <w:p w:rsidR="003E5FF5" w:rsidP="003E5FF5" w:rsidRDefault="003E5FF5" w14:paraId="5E1BFB10" w14:textId="77777777">
      <w:pPr>
        <w:pStyle w:val="NormalWeb"/>
        <w:rPr>
          <w:rFonts w:ascii="Arial" w:hAnsi="Arial" w:cs="Arial"/>
          <w:sz w:val="22"/>
          <w:szCs w:val="22"/>
        </w:rPr>
      </w:pPr>
      <w:r>
        <w:rPr>
          <w:rFonts w:ascii="Arial" w:hAnsi="Arial" w:cs="Arial"/>
          <w:sz w:val="22"/>
          <w:szCs w:val="22"/>
        </w:rPr>
        <w:t>(i) a deferred pension and lump sum which are payable when they retire, or</w:t>
      </w:r>
      <w:r>
        <w:rPr>
          <w:rFonts w:ascii="Arial" w:hAnsi="Arial" w:cs="Arial"/>
          <w:sz w:val="22"/>
          <w:szCs w:val="22"/>
        </w:rPr>
        <w:br/>
        <w:t>(ii) a transfer value, if they elect to transfer their pension fund to another pension arrangement.</w:t>
      </w:r>
    </w:p>
    <w:p w:rsidR="003E5FF5" w:rsidP="003E5FF5" w:rsidRDefault="003E5FF5" w14:paraId="727B8640" w14:textId="77777777">
      <w:pPr>
        <w:pStyle w:val="NormalWeb"/>
        <w:rPr>
          <w:rFonts w:ascii="Arial" w:hAnsi="Arial" w:cs="Arial"/>
          <w:sz w:val="22"/>
          <w:szCs w:val="22"/>
        </w:rPr>
      </w:pPr>
      <w:r>
        <w:rPr>
          <w:rFonts w:ascii="Arial" w:hAnsi="Arial" w:cs="Arial"/>
          <w:sz w:val="22"/>
          <w:szCs w:val="22"/>
        </w:rPr>
        <w:lastRenderedPageBreak/>
        <w:t xml:space="preserve">If a member of staff leaves the pension scheme </w:t>
      </w:r>
      <w:r>
        <w:rPr>
          <w:rStyle w:val="Strong"/>
          <w:rFonts w:cs="Arial" w:eastAsiaTheme="minorEastAsia"/>
          <w:sz w:val="22"/>
          <w:szCs w:val="22"/>
        </w:rPr>
        <w:t>within two years</w:t>
      </w:r>
      <w:r>
        <w:rPr>
          <w:rFonts w:ascii="Arial" w:hAnsi="Arial" w:cs="Arial"/>
          <w:sz w:val="22"/>
          <w:szCs w:val="22"/>
        </w:rPr>
        <w:t xml:space="preserve"> of joining, they have the same options (deferred benefits or a transfer value). However, for members not participating in PensionsPlus (i.e. those who opted out), there is also the option of a refund of their employee contributions. If they do not opt out and therefore benefit from PensionsPlus, they will not have made any employee pension contributions so if they leave the scheme within two years there will be no refund payable to the member of staff for any periods of participation in PensionsPlus.  For members of staff who think they may leave the scheme within two years of joining, participating in PensionsPlus may not be advantageous to them and they may therefore choose to opt out.</w:t>
      </w:r>
    </w:p>
    <w:p w:rsidR="003E5FF5" w:rsidP="003E5FF5" w:rsidRDefault="003E5FF5" w14:paraId="07DA459B" w14:textId="77777777">
      <w:pPr>
        <w:pStyle w:val="NormalWeb"/>
        <w:rPr>
          <w:rFonts w:ascii="Arial" w:hAnsi="Arial" w:cs="Arial"/>
          <w:sz w:val="22"/>
          <w:szCs w:val="22"/>
        </w:rPr>
      </w:pPr>
      <w:r>
        <w:rPr>
          <w:rFonts w:ascii="Arial" w:hAnsi="Arial" w:cs="Arial"/>
          <w:sz w:val="22"/>
          <w:szCs w:val="22"/>
        </w:rPr>
        <w:t xml:space="preserve">During the first month of service, the University advises that all members of staff read the relevant documentation relating to pensions on the Pension web pages.  If there are any questions not covered by the content of the Pensions web pages.  Please contact the Pensions Department at </w:t>
      </w:r>
      <w:hyperlink w:history="1" r:id="rId6">
        <w:r>
          <w:rPr>
            <w:rStyle w:val="Hyperlink"/>
            <w:rFonts w:ascii="Arial" w:hAnsi="Arial" w:cs="Arial"/>
            <w:sz w:val="22"/>
            <w:szCs w:val="22"/>
          </w:rPr>
          <w:t>payroll@sgul.ac.uk</w:t>
        </w:r>
      </w:hyperlink>
    </w:p>
    <w:p w:rsidR="00DC68E7" w:rsidP="00C34540" w:rsidRDefault="00DC68E7" w14:paraId="0DF0877A" w14:textId="792CD95F"/>
    <w:p w:rsidR="00C34540" w:rsidP="00C34540" w:rsidRDefault="00C34540" w14:paraId="410FD0DF" w14:textId="16CCDDD8"/>
    <w:p w:rsidRPr="00C34540" w:rsidR="00C34540" w:rsidP="00C34540" w:rsidRDefault="00C34540" w14:paraId="4C677159" w14:textId="77777777"/>
    <w:sectPr w:rsidRPr="00C34540" w:rsidR="00C34540" w:rsidSect="00D9148F">
      <w:headerReference w:type="first" r:id="rId7"/>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6C5A" w14:textId="6D24D21E" w:rsidR="00FD25F6" w:rsidRDefault="00FD25F6" w:rsidP="00D8155A">
    <w:pPr>
      <w:pStyle w:val="Header"/>
      <w:jc w:val="right"/>
    </w:pPr>
    <w:r>
      <w:rPr>
        <w:noProof/>
      </w:rPr>
      <w:drawing>
        <wp:anchor distT="0" distB="0" distL="114300" distR="114300" simplePos="0" relativeHeight="251658240" behindDoc="0" locked="0" layoutInCell="1" allowOverlap="1" wp14:anchorId="03AD7F20" wp14:editId="54F0CB40">
          <wp:simplePos x="0" y="0"/>
          <wp:positionH relativeFrom="page">
            <wp:posOffset>-13970</wp:posOffset>
          </wp:positionH>
          <wp:positionV relativeFrom="paragraph">
            <wp:posOffset>-445135</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r w:rsidR="00D8155A">
      <w:t>Payroll and Pensions, Finance</w:t>
    </w:r>
  </w:p>
  <w:p w14:paraId="13A6D0C1" w14:textId="69FD4431" w:rsidR="00D8155A" w:rsidRDefault="00D8155A" w:rsidP="00D8155A">
    <w:pPr>
      <w:pStyle w:val="Header"/>
      <w:jc w:val="right"/>
    </w:pPr>
    <w:r>
      <w:t>City St George’s University of London</w:t>
    </w:r>
  </w:p>
  <w:p w14:paraId="0A0E9D6E" w14:textId="7C274C65" w:rsidR="00D8155A" w:rsidRDefault="00D8155A" w:rsidP="00D8155A">
    <w:pPr>
      <w:pStyle w:val="Header"/>
      <w:jc w:val="right"/>
    </w:pPr>
    <w:r>
      <w:t>Cranmer Terrace</w:t>
    </w:r>
  </w:p>
  <w:p w14:paraId="531C8C5B" w14:textId="1FB34445" w:rsidR="00D8155A" w:rsidRDefault="00D8155A" w:rsidP="00D8155A">
    <w:pPr>
      <w:pStyle w:val="Header"/>
      <w:jc w:val="right"/>
    </w:pPr>
    <w:r>
      <w:t>London</w:t>
    </w:r>
  </w:p>
  <w:p w14:paraId="593DF1A8" w14:textId="26EFA402" w:rsidR="00D8155A" w:rsidRDefault="00D8155A" w:rsidP="00D8155A">
    <w:pPr>
      <w:pStyle w:val="Header"/>
      <w:jc w:val="right"/>
    </w:pPr>
    <w:r>
      <w:t>SW17 0RE</w:t>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F14B0"/>
    <w:rsid w:val="00152128"/>
    <w:rsid w:val="001A2D35"/>
    <w:rsid w:val="0024011B"/>
    <w:rsid w:val="002C4119"/>
    <w:rsid w:val="003654BA"/>
    <w:rsid w:val="003765BA"/>
    <w:rsid w:val="003A3259"/>
    <w:rsid w:val="003B4D06"/>
    <w:rsid w:val="003E5FF5"/>
    <w:rsid w:val="004173D9"/>
    <w:rsid w:val="0095714E"/>
    <w:rsid w:val="009D118A"/>
    <w:rsid w:val="00B61131"/>
    <w:rsid w:val="00B90503"/>
    <w:rsid w:val="00BE1BD0"/>
    <w:rsid w:val="00BF7910"/>
    <w:rsid w:val="00C34540"/>
    <w:rsid w:val="00CB14F5"/>
    <w:rsid w:val="00D8155A"/>
    <w:rsid w:val="00D9148F"/>
    <w:rsid w:val="00DA3E4B"/>
    <w:rsid w:val="00DA3EFF"/>
    <w:rsid w:val="00DC68E7"/>
    <w:rsid w:val="00EE7C3F"/>
    <w:rsid w:val="00F32156"/>
    <w:rsid w:val="00F4458E"/>
    <w:rsid w:val="00FB0206"/>
    <w:rsid w:val="00FD25F6"/>
    <w:rsid w:val="00FE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character" w:styleId="Hyperlink">
    <w:name w:val="Hyperlink"/>
    <w:basedOn w:val="DefaultParagraphFont"/>
    <w:uiPriority w:val="99"/>
    <w:semiHidden/>
    <w:unhideWhenUsed/>
    <w:rsid w:val="003E5FF5"/>
    <w:rPr>
      <w:color w:val="0563C1" w:themeColor="hyperlink"/>
      <w:u w:val="single"/>
    </w:rPr>
  </w:style>
  <w:style w:type="paragraph" w:styleId="NormalWeb">
    <w:name w:val="Normal (Web)"/>
    <w:basedOn w:val="Normal"/>
    <w:uiPriority w:val="99"/>
    <w:semiHidden/>
    <w:unhideWhenUsed/>
    <w:rsid w:val="003E5F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FF5"/>
    <w:rPr>
      <w:i/>
      <w:iCs/>
    </w:rPr>
  </w:style>
  <w:style w:type="character" w:styleId="Strong">
    <w:name w:val="Strong"/>
    <w:basedOn w:val="DefaultParagraphFont"/>
    <w:uiPriority w:val="22"/>
    <w:qFormat/>
    <w:rsid w:val="003E5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4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yroll@sgul.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Starter information Sept 2024</dc:title>
  <dc:subject>
  </dc:subject>
  <dc:creator>Lord, Rowan</dc:creator>
  <cp:keywords>
  </cp:keywords>
  <dc:description>
  </dc:description>
  <cp:lastModifiedBy>Cara Wright</cp:lastModifiedBy>
  <cp:revision>3</cp:revision>
  <dcterms:created xsi:type="dcterms:W3CDTF">2024-07-19T11:16:00Z</dcterms:created>
  <dcterms:modified xsi:type="dcterms:W3CDTF">2024-08-14T17:25:12Z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